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9F31D">
      <w:pPr>
        <w:autoSpaceDE w:val="0"/>
        <w:autoSpaceDN w:val="0"/>
        <w:spacing w:line="280" w:lineRule="atLeast"/>
        <w:jc w:val="center"/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ascii="黑体" w:hAnsi="黑体" w:eastAsia="黑体" w:cs="宋体"/>
          <w:color w:val="000000"/>
          <w:sz w:val="28"/>
          <w:szCs w:val="28"/>
        </w:rPr>
        <w:t>健肝口服液</w:t>
      </w:r>
    </w:p>
    <w:p w14:paraId="6A4678EF">
      <w:pPr>
        <w:jc w:val="center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Jiangan Koufuye</w:t>
      </w:r>
    </w:p>
    <w:p w14:paraId="74B718BD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处方</w:t>
      </w:r>
      <w:r>
        <w:rPr>
          <w:rFonts w:ascii="Times New Roman" w:hAnsi="Times New Roman" w:cs="Times New Roman"/>
          <w:color w:val="000000"/>
          <w:sz w:val="24"/>
          <w:szCs w:val="24"/>
        </w:rPr>
        <w:t>】  地黄75g                     白芍75g</w:t>
      </w:r>
    </w:p>
    <w:p w14:paraId="28E51180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麦冬75g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紫草75g</w:t>
      </w:r>
    </w:p>
    <w:p w14:paraId="2BC4C48D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百合75g                     白糖参75g</w:t>
      </w:r>
    </w:p>
    <w:p w14:paraId="123E5FD3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当归75g                     桑椹87.5g</w:t>
      </w:r>
    </w:p>
    <w:p w14:paraId="48B406B0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麦芽112.5g                 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枸杞子75g</w:t>
      </w:r>
    </w:p>
    <w:p w14:paraId="78C9B0A4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茜草75g                     桃仁75g</w:t>
      </w:r>
    </w:p>
    <w:p w14:paraId="794E9AF7">
      <w:pPr>
        <w:autoSpaceDE w:val="0"/>
        <w:autoSpaceDN w:val="0"/>
        <w:spacing w:line="360" w:lineRule="auto"/>
        <w:ind w:firstLine="1624" w:firstLineChars="6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五味子37.5g</w:t>
      </w:r>
    </w:p>
    <w:p w14:paraId="4A573316">
      <w:pPr>
        <w:autoSpaceDE w:val="0"/>
        <w:autoSpaceDN w:val="0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制法</w:t>
      </w:r>
      <w:r>
        <w:rPr>
          <w:rFonts w:ascii="Times New Roman" w:hAnsi="Times New Roman" w:cs="Times New Roman"/>
          <w:color w:val="000000"/>
          <w:sz w:val="24"/>
          <w:szCs w:val="24"/>
        </w:rPr>
        <w:t>】  以上十三味，按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煎煮</w:t>
      </w:r>
      <w:r>
        <w:rPr>
          <w:rFonts w:ascii="Times New Roman" w:hAnsi="Times New Roman" w:cs="Times New Roman"/>
          <w:color w:val="000000"/>
          <w:sz w:val="24"/>
          <w:szCs w:val="24"/>
        </w:rPr>
        <w:t>法提取两次，时间均为1.5小时，加水量依次为8倍量、6倍量，合并提取液，过滤，滤液浓缩至相对密度约为1.20（50℃），加入乙醇沉淀，使含醇量达到75%，静置48小时，过滤，滤液回收乙醇至无醇味并浓缩至适量，装瓶，灭菌，冷藏，备用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取白糖200g加纯水溶解，过滤，加入上述备用液中，并加纯水至1000ml，调节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H为4.5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6.5，搅匀，过滤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color w:val="000000"/>
          <w:sz w:val="24"/>
          <w:szCs w:val="24"/>
        </w:rPr>
        <w:t>灌封，灭菌（流通蒸汽100℃，50分钟），即得。</w:t>
      </w:r>
    </w:p>
    <w:p w14:paraId="02CBADBB">
      <w:pPr>
        <w:autoSpaceDE w:val="0"/>
        <w:autoSpaceDN w:val="0"/>
        <w:spacing w:line="360" w:lineRule="auto"/>
        <w:ind w:firstLine="511" w:firstLineChars="2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性状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本品为浅棕色至棕色液体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；</w:t>
      </w:r>
      <w:r>
        <w:rPr>
          <w:rFonts w:ascii="Times New Roman" w:hAnsi="Times New Roman" w:cs="Times New Roman"/>
          <w:color w:val="000000"/>
          <w:sz w:val="24"/>
          <w:szCs w:val="24"/>
        </w:rPr>
        <w:t>气微，味甜、微苦。</w:t>
      </w:r>
    </w:p>
    <w:p w14:paraId="0EEFBC34">
      <w:pPr>
        <w:autoSpaceDE w:val="0"/>
        <w:autoSpaceDN w:val="0"/>
        <w:spacing w:line="360" w:lineRule="auto"/>
        <w:ind w:right="-58" w:firstLine="511" w:firstLineChars="2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鉴别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取本品2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0ml</w:t>
      </w:r>
      <w:r>
        <w:rPr>
          <w:rFonts w:ascii="Times New Roman" w:hAnsi="Times New Roman" w:cs="Times New Roman"/>
          <w:color w:val="000000"/>
          <w:sz w:val="24"/>
          <w:szCs w:val="24"/>
        </w:rPr>
        <w:t>，加乙酸乙酯萃取两次，每次30ml，合并萃取液，水浴蒸干，残渣加乙酸乙酯1ml使溶解，作为供试品溶液。再取枸杞子对照药材1g，加水30ml，加热煮沸15分钟，放冷，滤过，滤液用乙酸乙酯15ml振摇提取，提取液浓缩至约1ml，作为对照药材溶液。照薄层色谱法（《中国药典》20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年版四部通则0502）试验，吸取上述两种溶液各5μl，分别点于同一硅胶G薄层板上，以乙酸乙酯-三氯甲烷-甲酸（3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∶</w:t>
      </w:r>
      <w:r>
        <w:rPr>
          <w:rFonts w:ascii="Times New Roman" w:hAnsi="Times New Roman" w:cs="Times New Roman"/>
          <w:color w:val="000000"/>
          <w:sz w:val="24"/>
          <w:szCs w:val="24"/>
        </w:rPr>
        <w:t>1）为展开剂，展开，取出，晾干，置紫外光灯（365nm）下检视。供试品色谱中，在与对照药材色谱相应的位置上，显相同颜色的荧光斑点。</w:t>
      </w:r>
    </w:p>
    <w:p w14:paraId="21A080DC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检查</w:t>
      </w:r>
      <w:r>
        <w:rPr>
          <w:rFonts w:ascii="Times New Roman" w:hAnsi="Times New Roman" w:cs="Times New Roman"/>
          <w:color w:val="000000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黑体" w:hAnsi="黑体" w:eastAsia="黑体" w:cs="Times New Roman"/>
          <w:color w:val="000000"/>
          <w:sz w:val="24"/>
          <w:szCs w:val="24"/>
        </w:rPr>
        <w:t>相对密度</w:t>
      </w:r>
      <w:r>
        <w:rPr>
          <w:rFonts w:hint="eastAsia" w:ascii="黑体" w:hAnsi="黑体" w:eastAsia="黑体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应不低于1.05（《中国药典》20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年版四部通则0601）。</w:t>
      </w:r>
    </w:p>
    <w:p w14:paraId="75E70F18">
      <w:pPr>
        <w:autoSpaceDE w:val="0"/>
        <w:autoSpaceDN w:val="0"/>
        <w:spacing w:line="360" w:lineRule="auto"/>
        <w:ind w:firstLine="511" w:firstLineChars="213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黑体" w:eastAsia="黑体" w:cs="Times New Roman"/>
          <w:color w:val="000000"/>
          <w:sz w:val="24"/>
          <w:szCs w:val="24"/>
        </w:rPr>
        <w:t>p</w:t>
      </w:r>
      <w:r>
        <w:rPr>
          <w:rFonts w:ascii="黑体" w:hAnsi="黑体" w:eastAsia="黑体" w:cs="Times New Roman"/>
          <w:color w:val="000000"/>
          <w:sz w:val="24"/>
          <w:szCs w:val="24"/>
        </w:rPr>
        <w:t>H值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应为4.0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6.0（《中国药典》20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年版四部通则0631）。</w:t>
      </w:r>
    </w:p>
    <w:p w14:paraId="42FC3295">
      <w:pPr>
        <w:spacing w:line="360" w:lineRule="auto"/>
        <w:ind w:firstLine="511" w:firstLineChars="21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黑体" w:hAnsi="黑体" w:eastAsia="黑体" w:cs="Times New Roman"/>
          <w:color w:val="000000"/>
          <w:sz w:val="24"/>
          <w:szCs w:val="24"/>
        </w:rPr>
        <w:t>其他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应符合合剂项下有关的各项规定（《中国药典》20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年版四部通则0181）。</w:t>
      </w:r>
    </w:p>
    <w:p w14:paraId="6E359468">
      <w:pPr>
        <w:autoSpaceDE w:val="0"/>
        <w:autoSpaceDN w:val="0"/>
        <w:spacing w:line="360" w:lineRule="auto"/>
        <w:ind w:right="-58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【</w:t>
      </w:r>
      <w:r>
        <w:rPr>
          <w:rFonts w:ascii="黑体" w:hAnsi="黑体" w:eastAsia="黑体" w:cs="Times New Roman"/>
          <w:color w:val="000000"/>
          <w:sz w:val="24"/>
          <w:szCs w:val="24"/>
        </w:rPr>
        <w:t>功能与主治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】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养阴柔肝、补肾健脾、益气通络、化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郁</w:t>
      </w:r>
      <w:r>
        <w:rPr>
          <w:rFonts w:ascii="Times New Roman" w:hAnsi="Times New Roman" w:cs="Times New Roman"/>
          <w:color w:val="000000"/>
          <w:sz w:val="24"/>
          <w:szCs w:val="24"/>
        </w:rPr>
        <w:t>解毒。用于各类型的慢性肝炎、肝硬化、肝脾肿大者，宜长期服用。</w:t>
      </w:r>
    </w:p>
    <w:p w14:paraId="58317048">
      <w:pPr>
        <w:spacing w:line="360" w:lineRule="auto"/>
        <w:ind w:firstLine="424" w:firstLineChars="17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用法与用量</w:t>
      </w:r>
      <w:r>
        <w:rPr>
          <w:rFonts w:ascii="Times New Roman" w:hAnsi="Times New Roman" w:cs="Times New Roman"/>
          <w:sz w:val="24"/>
          <w:szCs w:val="24"/>
        </w:rPr>
        <w:t xml:space="preserve">】  </w:t>
      </w:r>
      <w:r>
        <w:rPr>
          <w:rFonts w:ascii="Times New Roman" w:hAnsi="Times New Roman" w:cs="Times New Roman"/>
          <w:color w:val="000000"/>
          <w:sz w:val="24"/>
          <w:szCs w:val="24"/>
        </w:rPr>
        <w:t>口服，一次10ml，一日2次，服时摇匀。</w:t>
      </w:r>
    </w:p>
    <w:p w14:paraId="3FEDFF4B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规格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每支装10ml</w:t>
      </w:r>
    </w:p>
    <w:p w14:paraId="3B2EEE99">
      <w:pPr>
        <w:autoSpaceDE w:val="0"/>
        <w:autoSpaceDN w:val="0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贮</w:t>
      </w:r>
      <w:r>
        <w:rPr>
          <w:rFonts w:hint="eastAsia" w:ascii="黑体" w:hAnsi="黑体" w:eastAsia="黑体" w:cs="Times New Roman"/>
          <w:sz w:val="24"/>
          <w:szCs w:val="24"/>
        </w:rPr>
        <w:t>藏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密封，置阴凉干燥处。</w:t>
      </w:r>
    </w:p>
    <w:p w14:paraId="3C8B1238">
      <w:pPr>
        <w:spacing w:line="360" w:lineRule="auto"/>
        <w:ind w:firstLine="424" w:firstLineChars="1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制剂配制单位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西安市中医医院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443"/>
    <w:rsid w:val="0001192B"/>
    <w:rsid w:val="00321F0B"/>
    <w:rsid w:val="00426C65"/>
    <w:rsid w:val="006B2443"/>
    <w:rsid w:val="00714049"/>
    <w:rsid w:val="0084072F"/>
    <w:rsid w:val="008D5065"/>
    <w:rsid w:val="009805E9"/>
    <w:rsid w:val="00DC541E"/>
    <w:rsid w:val="00DD43DC"/>
    <w:rsid w:val="00E9722D"/>
    <w:rsid w:val="00EF56C6"/>
    <w:rsid w:val="00F56B30"/>
    <w:rsid w:val="0C4B1D94"/>
    <w:rsid w:val="1CE61807"/>
    <w:rsid w:val="506306B1"/>
    <w:rsid w:val="74B8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705</Words>
  <Characters>839</Characters>
  <Lines>7</Lines>
  <Paragraphs>2</Paragraphs>
  <TotalTime>33</TotalTime>
  <ScaleCrop>false</ScaleCrop>
  <LinksUpToDate>false</LinksUpToDate>
  <CharactersWithSpaces>990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2024-12-13T08:12:00Z</dcterms:created>
  <dc:creator>CP</dc:creator>
  <cp:lastModifiedBy>WPS_1641784537</cp:lastModifiedBy>
  <cp:lastPrinted>2025-04-27T02:28:00Z</cp:lastPrinted>
  <dcterms:modified xsi:type="dcterms:W3CDTF">2025-07-03T07:08:29Z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2B97BFC2669B4645A2C575431EDE64BB_13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