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1F719" w14:textId="77777777" w:rsidR="00F5051E" w:rsidRDefault="00685A9A">
      <w:pPr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养血生津颗粒</w:t>
      </w:r>
      <w:r>
        <w:rPr>
          <w:rFonts w:ascii="Times New Roman" w:eastAsia="黑体" w:hAnsi="Times New Roman" w:cs="Times New Roman" w:hint="eastAsia"/>
          <w:sz w:val="28"/>
          <w:szCs w:val="28"/>
        </w:rPr>
        <w:t>（</w:t>
      </w:r>
      <w:r>
        <w:rPr>
          <w:rFonts w:ascii="Times New Roman" w:eastAsia="黑体" w:hAnsi="Times New Roman" w:cs="Times New Roman"/>
          <w:sz w:val="28"/>
          <w:szCs w:val="28"/>
        </w:rPr>
        <w:t>无糖型</w:t>
      </w:r>
      <w:r>
        <w:rPr>
          <w:rFonts w:ascii="Times New Roman" w:eastAsia="黑体" w:hAnsi="Times New Roman" w:cs="Times New Roman" w:hint="eastAsia"/>
          <w:sz w:val="28"/>
          <w:szCs w:val="28"/>
        </w:rPr>
        <w:t>）</w:t>
      </w:r>
    </w:p>
    <w:p w14:paraId="5913314B" w14:textId="77777777" w:rsidR="00F5051E" w:rsidRDefault="00685A9A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Yangxue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Shengjin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Keli</w:t>
      </w:r>
      <w:proofErr w:type="spellEnd"/>
      <w:r>
        <w:rPr>
          <w:rFonts w:ascii="Times New Roman" w:hAnsi="Times New Roman" w:cs="Times New Roman" w:hint="eastAsia"/>
          <w:sz w:val="24"/>
        </w:rPr>
        <w:t>（</w:t>
      </w:r>
      <w:proofErr w:type="spellStart"/>
      <w:r>
        <w:rPr>
          <w:rFonts w:ascii="Times New Roman" w:hAnsi="Times New Roman" w:cs="Times New Roman"/>
          <w:sz w:val="24"/>
        </w:rPr>
        <w:t>Wutangxing</w:t>
      </w:r>
      <w:proofErr w:type="spellEnd"/>
      <w:r>
        <w:rPr>
          <w:rFonts w:ascii="Times New Roman" w:hAnsi="Times New Roman" w:cs="Times New Roman" w:hint="eastAsia"/>
          <w:sz w:val="24"/>
        </w:rPr>
        <w:t>）</w:t>
      </w:r>
    </w:p>
    <w:p w14:paraId="7B271CA1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【处方】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黄芪</w:t>
      </w:r>
      <w:r>
        <w:rPr>
          <w:rFonts w:ascii="Times New Roman" w:hAnsi="Times New Roman" w:cs="Times New Roman"/>
          <w:sz w:val="24"/>
        </w:rPr>
        <w:t xml:space="preserve">150g                   </w:t>
      </w:r>
      <w:r>
        <w:rPr>
          <w:rFonts w:ascii="Times New Roman" w:hAnsi="Times New Roman" w:cs="Times New Roman"/>
          <w:sz w:val="24"/>
        </w:rPr>
        <w:t>肉苁蓉</w:t>
      </w:r>
      <w:r>
        <w:rPr>
          <w:rFonts w:ascii="Times New Roman" w:hAnsi="Times New Roman" w:cs="Times New Roman"/>
          <w:sz w:val="24"/>
        </w:rPr>
        <w:t>100g</w:t>
      </w:r>
    </w:p>
    <w:p w14:paraId="4E860832" w14:textId="77777777" w:rsidR="00F5051E" w:rsidRDefault="00685A9A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石斛</w:t>
      </w:r>
      <w:r>
        <w:rPr>
          <w:rFonts w:ascii="Times New Roman" w:hAnsi="Times New Roman" w:cs="Times New Roman"/>
          <w:sz w:val="24"/>
        </w:rPr>
        <w:t xml:space="preserve">100g                   </w:t>
      </w:r>
      <w:r>
        <w:rPr>
          <w:rFonts w:ascii="Times New Roman" w:hAnsi="Times New Roman" w:cs="Times New Roman"/>
          <w:sz w:val="24"/>
        </w:rPr>
        <w:t>地黄</w:t>
      </w:r>
      <w:r>
        <w:rPr>
          <w:rFonts w:ascii="Times New Roman" w:hAnsi="Times New Roman" w:cs="Times New Roman"/>
          <w:sz w:val="24"/>
        </w:rPr>
        <w:t>75g</w:t>
      </w:r>
    </w:p>
    <w:p w14:paraId="7300D79B" w14:textId="77777777" w:rsidR="00F5051E" w:rsidRDefault="00685A9A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麦冬</w:t>
      </w:r>
      <w:r>
        <w:rPr>
          <w:rFonts w:ascii="Times New Roman" w:hAnsi="Times New Roman" w:cs="Times New Roman"/>
          <w:sz w:val="24"/>
        </w:rPr>
        <w:t xml:space="preserve">75g                    </w:t>
      </w:r>
      <w:r>
        <w:rPr>
          <w:rFonts w:ascii="Times New Roman" w:hAnsi="Times New Roman" w:cs="Times New Roman"/>
          <w:sz w:val="24"/>
        </w:rPr>
        <w:t>天冬</w:t>
      </w:r>
      <w:r>
        <w:rPr>
          <w:rFonts w:ascii="Times New Roman" w:hAnsi="Times New Roman" w:cs="Times New Roman"/>
          <w:sz w:val="24"/>
        </w:rPr>
        <w:t>75g</w:t>
      </w:r>
    </w:p>
    <w:p w14:paraId="459A0986" w14:textId="77777777" w:rsidR="00F5051E" w:rsidRDefault="00685A9A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当归</w:t>
      </w:r>
      <w:r>
        <w:rPr>
          <w:rFonts w:ascii="Times New Roman" w:hAnsi="Times New Roman" w:cs="Times New Roman"/>
          <w:sz w:val="24"/>
        </w:rPr>
        <w:t xml:space="preserve">75g                    </w:t>
      </w:r>
      <w:r>
        <w:rPr>
          <w:rFonts w:ascii="Times New Roman" w:hAnsi="Times New Roman" w:cs="Times New Roman"/>
          <w:sz w:val="24"/>
        </w:rPr>
        <w:t>白花蛇舌草</w:t>
      </w:r>
      <w:r>
        <w:rPr>
          <w:rFonts w:ascii="Times New Roman" w:hAnsi="Times New Roman" w:cs="Times New Roman"/>
          <w:sz w:val="24"/>
        </w:rPr>
        <w:t>75g</w:t>
      </w:r>
    </w:p>
    <w:p w14:paraId="2C1C23AB" w14:textId="77777777" w:rsidR="00F5051E" w:rsidRDefault="00685A9A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莪术</w:t>
      </w:r>
      <w:r>
        <w:rPr>
          <w:rFonts w:ascii="Times New Roman" w:hAnsi="Times New Roman" w:cs="Times New Roman"/>
          <w:sz w:val="24"/>
        </w:rPr>
        <w:t xml:space="preserve">55g                    </w:t>
      </w:r>
      <w:r>
        <w:rPr>
          <w:rFonts w:ascii="Times New Roman" w:hAnsi="Times New Roman" w:cs="Times New Roman"/>
          <w:sz w:val="24"/>
        </w:rPr>
        <w:t>半枝莲</w:t>
      </w:r>
      <w:r>
        <w:rPr>
          <w:rFonts w:ascii="Times New Roman" w:hAnsi="Times New Roman" w:cs="Times New Roman"/>
          <w:sz w:val="24"/>
        </w:rPr>
        <w:t>55g</w:t>
      </w:r>
    </w:p>
    <w:p w14:paraId="06F210FE" w14:textId="77777777" w:rsidR="00F5051E" w:rsidRDefault="00685A9A">
      <w:pPr>
        <w:spacing w:line="360" w:lineRule="auto"/>
        <w:ind w:firstLineChars="700" w:firstLine="16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三棱</w:t>
      </w:r>
      <w:r>
        <w:rPr>
          <w:rFonts w:ascii="Times New Roman" w:hAnsi="Times New Roman" w:cs="Times New Roman"/>
          <w:sz w:val="24"/>
        </w:rPr>
        <w:t>55g</w:t>
      </w:r>
    </w:p>
    <w:p w14:paraId="297AA622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【制法】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以上十一味药，加水煎煮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次，每次加</w:t>
      </w:r>
      <w:r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倍量水，煎煮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小时，合并煎液，滤过，滤液减压浓缩至相对密度为</w:t>
      </w:r>
      <w:r>
        <w:rPr>
          <w:rFonts w:ascii="Times New Roman" w:hAnsi="Times New Roman" w:cs="Times New Roman"/>
          <w:sz w:val="24"/>
        </w:rPr>
        <w:t>1.20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1.30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60℃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的稠膏，取稠膏，加适量糊精、甜菊糖苷、三氯蔗糖混匀，制粒，干燥，制成</w:t>
      </w:r>
      <w:r>
        <w:rPr>
          <w:rFonts w:ascii="Times New Roman" w:hAnsi="Times New Roman" w:cs="Times New Roman"/>
          <w:sz w:val="24"/>
        </w:rPr>
        <w:t>1000g</w:t>
      </w:r>
      <w:r>
        <w:rPr>
          <w:rFonts w:ascii="Times New Roman" w:hAnsi="Times New Roman" w:cs="Times New Roman"/>
          <w:sz w:val="24"/>
        </w:rPr>
        <w:t>，即得。</w:t>
      </w:r>
    </w:p>
    <w:p w14:paraId="5CAF95A3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【性状】</w:t>
      </w:r>
      <w:r>
        <w:rPr>
          <w:rFonts w:ascii="Times New Roman" w:hAnsi="Times New Roman" w:cs="Times New Roman"/>
          <w:sz w:val="24"/>
        </w:rPr>
        <w:t xml:space="preserve">  </w:t>
      </w:r>
      <w:r w:rsidRPr="002364DC">
        <w:rPr>
          <w:rFonts w:ascii="Times New Roman" w:hAnsi="Times New Roman" w:cs="Times New Roman"/>
          <w:sz w:val="24"/>
          <w:highlight w:val="yellow"/>
        </w:rPr>
        <w:t>本品内容物为棕黄色颗粒。</w:t>
      </w:r>
      <w:bookmarkStart w:id="0" w:name="_GoBack"/>
      <w:bookmarkEnd w:id="0"/>
    </w:p>
    <w:p w14:paraId="012F97E3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【鉴别】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取本品</w:t>
      </w:r>
      <w:r>
        <w:rPr>
          <w:rFonts w:ascii="Times New Roman" w:hAnsi="Times New Roman" w:cs="Times New Roman"/>
          <w:sz w:val="24"/>
        </w:rPr>
        <w:t>12g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研细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加水</w:t>
      </w:r>
      <w:r>
        <w:rPr>
          <w:rFonts w:ascii="Times New Roman" w:hAnsi="Times New Roman" w:cs="Times New Roman"/>
          <w:sz w:val="24"/>
        </w:rPr>
        <w:t>50ml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超声处理</w:t>
      </w:r>
      <w:r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>分钟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离心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/>
          <w:sz w:val="24"/>
        </w:rPr>
        <w:t>取上清液，用水饱和的正丁醇振摇提取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40ml</w:t>
      </w:r>
      <w:r>
        <w:rPr>
          <w:rFonts w:ascii="Times New Roman" w:hAnsi="Times New Roman" w:cs="Times New Roman"/>
          <w:sz w:val="24"/>
        </w:rPr>
        <w:t>，合并正丁醇液，用氨试液洗涤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30ml</w:t>
      </w:r>
      <w:r>
        <w:rPr>
          <w:rFonts w:ascii="Times New Roman" w:hAnsi="Times New Roman" w:cs="Times New Roman"/>
          <w:sz w:val="24"/>
        </w:rPr>
        <w:t>，弃去洗涤液，再用正丁醇饱和的水洗涤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20ml</w:t>
      </w:r>
      <w:r>
        <w:rPr>
          <w:rFonts w:ascii="Times New Roman" w:hAnsi="Times New Roman" w:cs="Times New Roman"/>
          <w:sz w:val="24"/>
        </w:rPr>
        <w:t>，弃去水液，正丁醇液蒸干，残渣加甲醇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>。另取黄芪甲</w:t>
      </w:r>
      <w:proofErr w:type="gramStart"/>
      <w:r>
        <w:rPr>
          <w:rFonts w:ascii="Times New Roman" w:hAnsi="Times New Roman" w:cs="Times New Roman"/>
          <w:sz w:val="24"/>
        </w:rPr>
        <w:t>苷</w:t>
      </w:r>
      <w:proofErr w:type="gramEnd"/>
      <w:r>
        <w:rPr>
          <w:rFonts w:ascii="Times New Roman" w:hAnsi="Times New Roman" w:cs="Times New Roman"/>
          <w:sz w:val="24"/>
        </w:rPr>
        <w:t>对照品，加甲醇制成每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含</w:t>
      </w:r>
      <w:r>
        <w:rPr>
          <w:rFonts w:ascii="Times New Roman" w:hAnsi="Times New Roman" w:cs="Times New Roman"/>
          <w:sz w:val="24"/>
        </w:rPr>
        <w:t>1mg</w:t>
      </w:r>
      <w:r>
        <w:rPr>
          <w:rFonts w:ascii="Times New Roman" w:hAnsi="Times New Roman" w:cs="Times New Roman"/>
          <w:sz w:val="24"/>
        </w:rPr>
        <w:t>的溶液，作为对照品溶液。照薄层色谱法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《中国药典》</w:t>
      </w:r>
      <w:r>
        <w:rPr>
          <w:rFonts w:ascii="Times New Roman" w:eastAsia="宋体" w:hAnsi="Times New Roman" w:cs="Times New Roman" w:hint="eastAsia"/>
          <w:sz w:val="24"/>
        </w:rPr>
        <w:t>2020</w:t>
      </w:r>
      <w:r>
        <w:rPr>
          <w:rFonts w:ascii="Times New Roman" w:eastAsia="宋体" w:hAnsi="Times New Roman" w:cs="Times New Roman" w:hint="eastAsia"/>
          <w:sz w:val="24"/>
        </w:rPr>
        <w:t>年版四部</w:t>
      </w:r>
      <w:r>
        <w:rPr>
          <w:rFonts w:ascii="Times New Roman" w:eastAsia="宋体" w:hAnsi="宋体" w:cs="Times New Roman"/>
          <w:sz w:val="24"/>
        </w:rPr>
        <w:t>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试验，吸取上述两种溶液各</w:t>
      </w:r>
      <w:r>
        <w:rPr>
          <w:rFonts w:ascii="Times New Roman" w:hAnsi="Times New Roman" w:cs="Times New Roman"/>
          <w:sz w:val="24"/>
        </w:rPr>
        <w:t>10μl</w:t>
      </w:r>
      <w:r>
        <w:rPr>
          <w:rFonts w:ascii="Times New Roman" w:hAnsi="Times New Roman" w:cs="Times New Roman"/>
          <w:sz w:val="24"/>
        </w:rPr>
        <w:t>，分别点于同一硅胶</w:t>
      </w:r>
      <w:r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</w:rPr>
        <w:t>薄层板上，以三氯甲烷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甲醇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水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的下层溶液为展开剂，展开，取出，晾干，</w:t>
      </w:r>
      <w:proofErr w:type="gramStart"/>
      <w:r>
        <w:rPr>
          <w:rFonts w:ascii="Times New Roman" w:hAnsi="Times New Roman" w:cs="Times New Roman"/>
          <w:sz w:val="24"/>
        </w:rPr>
        <w:t>喷以</w:t>
      </w:r>
      <w:proofErr w:type="gramEnd"/>
      <w:r>
        <w:rPr>
          <w:rFonts w:ascii="Times New Roman" w:hAnsi="Times New Roman" w:cs="Times New Roman"/>
          <w:sz w:val="24"/>
        </w:rPr>
        <w:t>10%</w:t>
      </w:r>
      <w:r>
        <w:rPr>
          <w:rFonts w:ascii="Times New Roman" w:hAnsi="Times New Roman" w:cs="Times New Roman"/>
          <w:sz w:val="24"/>
        </w:rPr>
        <w:t>硫酸乙醇溶液，在</w:t>
      </w:r>
      <w:r>
        <w:rPr>
          <w:rFonts w:ascii="Times New Roman" w:hAnsi="Times New Roman" w:cs="Times New Roman"/>
          <w:sz w:val="24"/>
        </w:rPr>
        <w:t>105℃</w:t>
      </w:r>
      <w:r>
        <w:rPr>
          <w:rFonts w:ascii="Times New Roman" w:hAnsi="Times New Roman" w:cs="Times New Roman"/>
          <w:sz w:val="24"/>
        </w:rPr>
        <w:t>加热至斑点显色清晰，在日光下检视。供试品色谱中，在与对照品色</w:t>
      </w:r>
      <w:proofErr w:type="gramStart"/>
      <w:r>
        <w:rPr>
          <w:rFonts w:ascii="Times New Roman" w:hAnsi="Times New Roman" w:cs="Times New Roman"/>
          <w:sz w:val="24"/>
        </w:rPr>
        <w:t>谱相应</w:t>
      </w:r>
      <w:proofErr w:type="gramEnd"/>
      <w:r>
        <w:rPr>
          <w:rFonts w:ascii="Times New Roman" w:hAnsi="Times New Roman" w:cs="Times New Roman"/>
          <w:sz w:val="24"/>
        </w:rPr>
        <w:t>的位置上，</w:t>
      </w:r>
      <w:proofErr w:type="gramStart"/>
      <w:r>
        <w:rPr>
          <w:rFonts w:ascii="Times New Roman" w:hAnsi="Times New Roman" w:cs="Times New Roman"/>
          <w:sz w:val="24"/>
        </w:rPr>
        <w:t>显相同</w:t>
      </w:r>
      <w:proofErr w:type="gramEnd"/>
      <w:r>
        <w:rPr>
          <w:rFonts w:ascii="Times New Roman" w:hAnsi="Times New Roman" w:cs="Times New Roman"/>
          <w:sz w:val="24"/>
        </w:rPr>
        <w:t>颜色的斑点。</w:t>
      </w:r>
    </w:p>
    <w:p w14:paraId="223FB43A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取本品</w:t>
      </w:r>
      <w:r>
        <w:rPr>
          <w:rFonts w:ascii="Times New Roman" w:hAnsi="Times New Roman" w:cs="Times New Roman"/>
          <w:sz w:val="24"/>
        </w:rPr>
        <w:t>12g</w:t>
      </w:r>
      <w:r>
        <w:rPr>
          <w:rFonts w:ascii="Times New Roman" w:hAnsi="Times New Roman" w:cs="Times New Roman"/>
          <w:sz w:val="24"/>
        </w:rPr>
        <w:t>，研细，加甲醇</w:t>
      </w:r>
      <w:r>
        <w:rPr>
          <w:rFonts w:ascii="Times New Roman" w:hAnsi="Times New Roman" w:cs="Times New Roman"/>
          <w:sz w:val="24"/>
        </w:rPr>
        <w:t>40ml</w:t>
      </w:r>
      <w:r>
        <w:rPr>
          <w:rFonts w:ascii="Times New Roman" w:hAnsi="Times New Roman" w:cs="Times New Roman"/>
          <w:sz w:val="24"/>
        </w:rPr>
        <w:t>，超声处理</w:t>
      </w:r>
      <w:r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>分钟，滤过，滤液蒸干，残渣加水</w:t>
      </w:r>
      <w:r>
        <w:rPr>
          <w:rFonts w:ascii="Times New Roman" w:hAnsi="Times New Roman" w:cs="Times New Roman"/>
          <w:sz w:val="24"/>
        </w:rPr>
        <w:t>20ml</w:t>
      </w:r>
      <w:r>
        <w:rPr>
          <w:rFonts w:ascii="Times New Roman" w:hAnsi="Times New Roman" w:cs="Times New Roman"/>
          <w:sz w:val="24"/>
        </w:rPr>
        <w:t>使溶解，用乙酸乙酯振摇提取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25ml</w:t>
      </w:r>
      <w:r>
        <w:rPr>
          <w:rFonts w:ascii="Times New Roman" w:hAnsi="Times New Roman" w:cs="Times New Roman"/>
          <w:sz w:val="24"/>
        </w:rPr>
        <w:t>，合并乙酸乙酯液，蒸干，残渣加甲醇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>。另取当归对照药材</w:t>
      </w:r>
      <w:r>
        <w:rPr>
          <w:rFonts w:ascii="Times New Roman" w:hAnsi="Times New Roman" w:cs="Times New Roman"/>
          <w:sz w:val="24"/>
        </w:rPr>
        <w:t>1g</w:t>
      </w:r>
      <w:r>
        <w:rPr>
          <w:rFonts w:ascii="Times New Roman" w:hAnsi="Times New Roman" w:cs="Times New Roman"/>
          <w:sz w:val="24"/>
        </w:rPr>
        <w:t>，加水</w:t>
      </w:r>
      <w:r>
        <w:rPr>
          <w:rFonts w:ascii="Times New Roman" w:hAnsi="Times New Roman" w:cs="Times New Roman"/>
          <w:sz w:val="24"/>
        </w:rPr>
        <w:t>50ml</w:t>
      </w:r>
      <w:r>
        <w:rPr>
          <w:rFonts w:ascii="Times New Roman" w:hAnsi="Times New Roman" w:cs="Times New Roman"/>
          <w:sz w:val="24"/>
        </w:rPr>
        <w:t>，水浴加热回流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小时，滤过，滤液用乙酸乙酯振摇提取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次，每次</w:t>
      </w:r>
      <w:r>
        <w:rPr>
          <w:rFonts w:ascii="Times New Roman" w:hAnsi="Times New Roman" w:cs="Times New Roman"/>
          <w:sz w:val="24"/>
        </w:rPr>
        <w:t>25ml</w:t>
      </w:r>
      <w:r>
        <w:rPr>
          <w:rFonts w:ascii="Times New Roman" w:hAnsi="Times New Roman" w:cs="Times New Roman"/>
          <w:sz w:val="24"/>
        </w:rPr>
        <w:t>，合并乙酸乙酯液，蒸干，残渣加甲醇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Times New Roman" w:cs="Times New Roman"/>
          <w:sz w:val="24"/>
        </w:rPr>
        <w:t>使溶解，作为对照药材溶液。照薄层色谱法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《中国药典》</w:t>
      </w:r>
      <w:r>
        <w:rPr>
          <w:rFonts w:ascii="Times New Roman" w:eastAsia="宋体" w:hAnsi="Times New Roman" w:cs="Times New Roman" w:hint="eastAsia"/>
          <w:sz w:val="24"/>
        </w:rPr>
        <w:t>2020</w:t>
      </w:r>
      <w:r>
        <w:rPr>
          <w:rFonts w:ascii="Times New Roman" w:eastAsia="宋体" w:hAnsi="Times New Roman" w:cs="Times New Roman" w:hint="eastAsia"/>
          <w:sz w:val="24"/>
        </w:rPr>
        <w:t>年版四部</w:t>
      </w:r>
      <w:r>
        <w:rPr>
          <w:rFonts w:ascii="Times New Roman" w:eastAsia="宋体" w:hAnsi="宋体" w:cs="Times New Roman"/>
          <w:sz w:val="24"/>
        </w:rPr>
        <w:t>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试验，吸取</w:t>
      </w: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>与对照药材溶液各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10μl</w:t>
      </w:r>
      <w:r>
        <w:rPr>
          <w:rFonts w:ascii="Times New Roman" w:hAnsi="Times New Roman" w:cs="Times New Roman"/>
          <w:sz w:val="24"/>
        </w:rPr>
        <w:t>，分别点于同一硅胶</w:t>
      </w:r>
      <w:r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</w:rPr>
        <w:t>薄层板上，以甲苯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乙酸乙酯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甲酸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lastRenderedPageBreak/>
        <w:t>10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为展开剂，展开，</w:t>
      </w:r>
      <w:proofErr w:type="gramStart"/>
      <w:r>
        <w:rPr>
          <w:rFonts w:ascii="Times New Roman" w:hAnsi="Times New Roman" w:cs="Times New Roman"/>
          <w:sz w:val="24"/>
        </w:rPr>
        <w:t>展距</w:t>
      </w:r>
      <w:proofErr w:type="gramEnd"/>
      <w:r>
        <w:rPr>
          <w:rFonts w:ascii="Times New Roman" w:hAnsi="Times New Roman" w:cs="Times New Roman"/>
          <w:sz w:val="24"/>
        </w:rPr>
        <w:t>15cm</w:t>
      </w:r>
      <w:r>
        <w:rPr>
          <w:rFonts w:ascii="Times New Roman" w:hAnsi="Times New Roman" w:cs="Times New Roman"/>
          <w:sz w:val="24"/>
        </w:rPr>
        <w:t>，取出，晾干，</w:t>
      </w:r>
      <w:proofErr w:type="gramStart"/>
      <w:r>
        <w:rPr>
          <w:rFonts w:ascii="Times New Roman" w:hAnsi="Times New Roman" w:cs="Times New Roman"/>
          <w:sz w:val="24"/>
        </w:rPr>
        <w:t>喷以</w:t>
      </w:r>
      <w:proofErr w:type="gramEnd"/>
      <w:r>
        <w:rPr>
          <w:rFonts w:ascii="Times New Roman" w:hAnsi="Times New Roman" w:cs="Times New Roman"/>
          <w:sz w:val="24"/>
        </w:rPr>
        <w:t>1%</w:t>
      </w:r>
      <w:r>
        <w:rPr>
          <w:rFonts w:ascii="Times New Roman" w:hAnsi="Times New Roman" w:cs="Times New Roman"/>
          <w:sz w:val="24"/>
        </w:rPr>
        <w:t>铁氰化钾溶液与</w:t>
      </w:r>
      <w:r>
        <w:rPr>
          <w:rFonts w:ascii="Times New Roman" w:hAnsi="Times New Roman" w:cs="Times New Roman"/>
          <w:sz w:val="24"/>
        </w:rPr>
        <w:t>1%</w:t>
      </w:r>
      <w:r>
        <w:rPr>
          <w:rFonts w:ascii="Times New Roman" w:hAnsi="Times New Roman" w:cs="Times New Roman"/>
          <w:sz w:val="24"/>
        </w:rPr>
        <w:t>三氯化铁溶液等体积的混合溶液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临用前配制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。供试品色谱中，在与对照药材色谱相应的位置上，显两个相同颜色的斑点。</w:t>
      </w:r>
    </w:p>
    <w:p w14:paraId="2B999A5E" w14:textId="4D25CB71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取本品</w:t>
      </w:r>
      <w:r>
        <w:rPr>
          <w:rFonts w:ascii="Times New Roman" w:hAnsi="Times New Roman" w:cs="Times New Roman"/>
          <w:sz w:val="24"/>
        </w:rPr>
        <w:t>6g</w:t>
      </w:r>
      <w:r>
        <w:rPr>
          <w:rFonts w:ascii="Times New Roman" w:hAnsi="Times New Roman" w:cs="Times New Roman"/>
          <w:sz w:val="24"/>
        </w:rPr>
        <w:t>，研细，加甲醇</w:t>
      </w:r>
      <w:r>
        <w:rPr>
          <w:rFonts w:ascii="Times New Roman" w:hAnsi="Times New Roman" w:cs="Times New Roman"/>
          <w:sz w:val="24"/>
        </w:rPr>
        <w:t>30ml</w:t>
      </w:r>
      <w:r>
        <w:rPr>
          <w:rFonts w:ascii="Times New Roman" w:hAnsi="Times New Roman" w:cs="Times New Roman"/>
          <w:sz w:val="24"/>
        </w:rPr>
        <w:t>，超声处理</w:t>
      </w:r>
      <w:r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>分钟，滤过，滤液蒸干，残渣加甲醇</w:t>
      </w:r>
      <w:r>
        <w:rPr>
          <w:rFonts w:ascii="Times New Roman" w:hAnsi="Times New Roman" w:cs="Times New Roman"/>
          <w:sz w:val="24"/>
        </w:rPr>
        <w:t>2ml</w:t>
      </w:r>
      <w:r>
        <w:rPr>
          <w:rFonts w:ascii="Times New Roman" w:hAnsi="Times New Roman" w:cs="Times New Roman"/>
          <w:sz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</w:rPr>
        <w:t>供试品溶液</w:t>
      </w:r>
      <w:proofErr w:type="gramEnd"/>
      <w:r>
        <w:rPr>
          <w:rFonts w:ascii="Times New Roman" w:hAnsi="Times New Roman" w:cs="Times New Roman"/>
          <w:sz w:val="24"/>
        </w:rPr>
        <w:t>。另取肉苁蓉对照药材</w:t>
      </w:r>
      <w:r>
        <w:rPr>
          <w:rFonts w:ascii="Times New Roman" w:hAnsi="Times New Roman" w:cs="Times New Roman"/>
          <w:sz w:val="24"/>
        </w:rPr>
        <w:t>1g</w:t>
      </w:r>
      <w:r>
        <w:rPr>
          <w:rFonts w:ascii="Times New Roman" w:hAnsi="Times New Roman" w:cs="Times New Roman"/>
          <w:sz w:val="24"/>
        </w:rPr>
        <w:t>，同法制成对照药材溶液。照薄层色谱法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《中国药典》</w:t>
      </w:r>
      <w:r>
        <w:rPr>
          <w:rFonts w:ascii="Times New Roman" w:eastAsia="宋体" w:hAnsi="Times New Roman" w:cs="Times New Roman" w:hint="eastAsia"/>
          <w:sz w:val="24"/>
        </w:rPr>
        <w:t>2020</w:t>
      </w:r>
      <w:r>
        <w:rPr>
          <w:rFonts w:ascii="Times New Roman" w:eastAsia="宋体" w:hAnsi="Times New Roman" w:cs="Times New Roman" w:hint="eastAsia"/>
          <w:sz w:val="24"/>
        </w:rPr>
        <w:t>年版四部</w:t>
      </w:r>
      <w:r>
        <w:rPr>
          <w:rFonts w:ascii="Times New Roman" w:eastAsia="宋体" w:hAnsi="宋体" w:cs="Times New Roman"/>
          <w:sz w:val="24"/>
        </w:rPr>
        <w:t>通则</w:t>
      </w:r>
      <w:r>
        <w:rPr>
          <w:rFonts w:ascii="Times New Roman" w:eastAsia="宋体" w:hAnsi="Times New Roman" w:cs="Times New Roman"/>
          <w:sz w:val="24"/>
        </w:rPr>
        <w:t>0502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试验，吸取上述两种溶液各</w:t>
      </w:r>
      <w:r>
        <w:rPr>
          <w:rFonts w:ascii="Times New Roman" w:hAnsi="Times New Roman" w:cs="Times New Roman"/>
          <w:sz w:val="24"/>
        </w:rPr>
        <w:t>3μl</w:t>
      </w:r>
      <w:r>
        <w:rPr>
          <w:rFonts w:ascii="Times New Roman" w:hAnsi="Times New Roman" w:cs="Times New Roman"/>
          <w:sz w:val="24"/>
        </w:rPr>
        <w:t>，分别点于同一聚酰胺薄膜上，以甲醇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 w:hint="eastAsia"/>
          <w:sz w:val="24"/>
        </w:rPr>
        <w:t>冰</w:t>
      </w:r>
      <w:r>
        <w:rPr>
          <w:rFonts w:ascii="Times New Roman" w:hAnsi="Times New Roman" w:cs="Times New Roman"/>
          <w:sz w:val="24"/>
        </w:rPr>
        <w:t>醋酸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水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∶</w:t>
      </w:r>
      <w:r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为展开剂，展开，取出，晾干，在紫外光灯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365nm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</w:rPr>
        <w:t>显相同</w:t>
      </w:r>
      <w:proofErr w:type="gramEnd"/>
      <w:r>
        <w:rPr>
          <w:rFonts w:ascii="Times New Roman" w:hAnsi="Times New Roman" w:cs="Times New Roman"/>
          <w:sz w:val="24"/>
        </w:rPr>
        <w:t>颜色的荧光主斑点。</w:t>
      </w:r>
    </w:p>
    <w:p w14:paraId="67C15230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【检查】</w:t>
      </w:r>
      <w:r>
        <w:rPr>
          <w:rFonts w:ascii="Times New Roman" w:eastAsia="黑体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应符合颗粒剂项下有关的各项规定</w:t>
      </w:r>
      <w:r>
        <w:rPr>
          <w:rFonts w:ascii="Times New Roman" w:hAnsi="Times New Roman" w:cs="Times New Roman" w:hint="eastAsia"/>
          <w:sz w:val="24"/>
        </w:rPr>
        <w:t>（《</w:t>
      </w:r>
      <w:r>
        <w:rPr>
          <w:rFonts w:ascii="Times New Roman" w:hAnsi="Times New Roman" w:cs="Times New Roman"/>
          <w:sz w:val="24"/>
        </w:rPr>
        <w:t>中国药典</w:t>
      </w:r>
      <w:r>
        <w:rPr>
          <w:rFonts w:ascii="Times New Roman" w:hAnsi="Times New Roman" w:cs="Times New Roman" w:hint="eastAsia"/>
          <w:sz w:val="24"/>
        </w:rPr>
        <w:t>》</w:t>
      </w:r>
      <w:r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/>
          <w:sz w:val="24"/>
        </w:rPr>
        <w:t>年版四部通则</w:t>
      </w:r>
      <w:r>
        <w:rPr>
          <w:rFonts w:ascii="Times New Roman" w:hAnsi="Times New Roman" w:cs="Times New Roman"/>
          <w:sz w:val="24"/>
        </w:rPr>
        <w:t>0104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/>
          <w:sz w:val="24"/>
        </w:rPr>
        <w:t>。</w:t>
      </w:r>
    </w:p>
    <w:p w14:paraId="1A866734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【功能与主治】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补气养血、益胃生津、滋阴润燥。用于气血不足，津液耗伤所致的口干、眼干、乏力、舌红、舌苔少白或微黄、脉沉。</w:t>
      </w:r>
    </w:p>
    <w:p w14:paraId="3277ED8A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【用法与用量】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开水冲服。一次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袋，一日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次。</w:t>
      </w:r>
    </w:p>
    <w:p w14:paraId="2B534B15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【规格】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每袋装</w:t>
      </w:r>
      <w:r>
        <w:rPr>
          <w:rFonts w:ascii="Times New Roman" w:hAnsi="Times New Roman" w:cs="Times New Roman"/>
          <w:sz w:val="24"/>
        </w:rPr>
        <w:t>6g</w:t>
      </w:r>
    </w:p>
    <w:p w14:paraId="047F08CA" w14:textId="77777777" w:rsidR="00F5051E" w:rsidRDefault="00685A9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【贮藏】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密封保存。</w:t>
      </w:r>
    </w:p>
    <w:p w14:paraId="07DD0475" w14:textId="77777777" w:rsidR="00F5051E" w:rsidRDefault="00685A9A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【制剂配制单位】  </w:t>
      </w:r>
      <w:r>
        <w:rPr>
          <w:rFonts w:ascii="宋体" w:eastAsia="宋体" w:hAnsi="宋体" w:cs="宋体" w:hint="eastAsia"/>
          <w:sz w:val="24"/>
        </w:rPr>
        <w:t>西安大兴医院</w:t>
      </w:r>
    </w:p>
    <w:sectPr w:rsidR="00F505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423AD" w14:textId="77777777" w:rsidR="00CE0F06" w:rsidRDefault="00CE0F06" w:rsidP="002364DC">
      <w:r>
        <w:separator/>
      </w:r>
    </w:p>
  </w:endnote>
  <w:endnote w:type="continuationSeparator" w:id="0">
    <w:p w14:paraId="0F5D5A5B" w14:textId="77777777" w:rsidR="00CE0F06" w:rsidRDefault="00CE0F06" w:rsidP="0023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79402" w14:textId="77777777" w:rsidR="00CE0F06" w:rsidRDefault="00CE0F06" w:rsidP="002364DC">
      <w:r>
        <w:separator/>
      </w:r>
    </w:p>
  </w:footnote>
  <w:footnote w:type="continuationSeparator" w:id="0">
    <w:p w14:paraId="26030468" w14:textId="77777777" w:rsidR="00CE0F06" w:rsidRDefault="00CE0F06" w:rsidP="00236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5023D"/>
    <w:rsid w:val="002364DC"/>
    <w:rsid w:val="00685A9A"/>
    <w:rsid w:val="006A0C1B"/>
    <w:rsid w:val="00CE0F06"/>
    <w:rsid w:val="00F5051E"/>
    <w:rsid w:val="043B136A"/>
    <w:rsid w:val="6EF5023D"/>
    <w:rsid w:val="737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36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64DC"/>
    <w:rPr>
      <w:kern w:val="2"/>
      <w:sz w:val="18"/>
      <w:szCs w:val="18"/>
    </w:rPr>
  </w:style>
  <w:style w:type="paragraph" w:styleId="a4">
    <w:name w:val="footer"/>
    <w:basedOn w:val="a"/>
    <w:link w:val="Char0"/>
    <w:rsid w:val="00236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64D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36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64DC"/>
    <w:rPr>
      <w:kern w:val="2"/>
      <w:sz w:val="18"/>
      <w:szCs w:val="18"/>
    </w:rPr>
  </w:style>
  <w:style w:type="paragraph" w:styleId="a4">
    <w:name w:val="footer"/>
    <w:basedOn w:val="a"/>
    <w:link w:val="Char0"/>
    <w:rsid w:val="00236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64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5</cp:revision>
  <cp:lastPrinted>2025-02-13T02:56:00Z</cp:lastPrinted>
  <dcterms:created xsi:type="dcterms:W3CDTF">2025-02-08T02:43:00Z</dcterms:created>
  <dcterms:modified xsi:type="dcterms:W3CDTF">2025-07-08T09:32:00Z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FB57C26C509C459C88CF626F505756F3_11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