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B3E1">
      <w:pPr>
        <w:jc w:val="center"/>
        <w:rPr>
          <w:rFonts w:ascii="黑体" w:hAnsi="黑体" w:eastAsia="黑体" w:cs="宋体"/>
          <w:color w:val="000000"/>
          <w:sz w:val="28"/>
          <w:szCs w:val="28"/>
        </w:rPr>
      </w:pPr>
      <w:r>
        <w:rPr>
          <w:rFonts w:ascii="黑体" w:hAnsi="黑体" w:eastAsia="黑体" w:cs="宋体"/>
          <w:color w:val="000000"/>
          <w:sz w:val="28"/>
          <w:szCs w:val="28"/>
        </w:rPr>
        <w:t>骨毒消岩片</w:t>
      </w:r>
    </w:p>
    <w:p w14:paraId="792064EF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Gudu Xiaoyan Pian</w:t>
      </w:r>
    </w:p>
    <w:p w14:paraId="545D53A1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山慈菇50g                   骨碎补33.3g</w:t>
      </w:r>
    </w:p>
    <w:p w14:paraId="57A13943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威灵仙33.3g                  防己33.3g</w:t>
      </w:r>
    </w:p>
    <w:p w14:paraId="4407006A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鹿角霜50g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莪术100g</w:t>
      </w:r>
    </w:p>
    <w:p w14:paraId="29EEC3D5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延胡索50g                   党参100g</w:t>
      </w:r>
    </w:p>
    <w:p w14:paraId="504F689B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夏天无50g</w:t>
      </w:r>
    </w:p>
    <w:p w14:paraId="1A4A38C2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以上九味药，其中延胡索、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莪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术、夏天无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粉碎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为细粉，备用；其余六味按煎煮法提取两次，时间均为1.5小时，用水量依次为8倍量、6倍量，合并提取液，过滤，滤液浓缩到相对密度为1.31～1.33（60℃）的稠膏，加入上述备用细粉及适量糊精和糖粉，混匀，制粒，干燥（&lt;80℃），压制成1000片，包薄膜衣，即得。</w:t>
      </w:r>
    </w:p>
    <w:p w14:paraId="3FF1F426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本品为薄膜衣片，除去薄膜衣片后显棕褐色；气微，味苦。</w:t>
      </w:r>
    </w:p>
    <w:p w14:paraId="7A48F1DB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（1）取本品10g，研细，加无水乙醇20ml，超声处理30分钟，放冷，滤过，滤液蒸干，残渣加水10ml使溶解，滴加氨试液调节pH至9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10，用乙醚振摇提取3次，每次10ml，合并乙醚液，挥干，残渣加甲醇2ml使溶解。作为供试品溶液。另取延胡索对照药材1g，同法制成对照药材溶液。照薄层色谱法（《中国药典》2020年版四部通则0502）试验，吸取供试品溶液4μl、对照药材溶液3μl，分别点于同一硅胶G薄层板上，以甲苯-丙酮（9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2）为展开剂，展开，取出，晾干，置碘缸中约3分钟后，取出，挥干板上吸附的碘后，置紫外灯（365nm）下检视。供试品色谱中，在与对照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药材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色谱相应的位置上，显相同颜色的荧光斑点。</w:t>
      </w:r>
    </w:p>
    <w:p w14:paraId="7BFF914D">
      <w:pPr>
        <w:autoSpaceDE w:val="0"/>
        <w:autoSpaceDN w:val="0"/>
        <w:spacing w:line="360" w:lineRule="auto"/>
        <w:ind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（2）取本品6g，研细，加石油醚（30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60℃）10ml，超声处理20分钟，滤过，滤液蒸干，残渣加无水乙醇1ml使溶解，作为供试品溶液。另取温莪术对照药材2g，同法制成对照药材溶液。照薄层色谱法（《中国药典》2020年版四部通则0502）试验，吸取对照药材溶液3μl、供试品溶液10μl，分别点于同一硅胶G薄层板上，以石油醚（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60℃）-丙酮-乙酸乙酯（94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1）为展开剂，展开，取出，晾干，喷以1%香草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硫酸溶液，在105℃加热至斑点显色清晰。供试品色谱中，在与对照药材色谱相应的位置上，显相同颜色的斑点。</w:t>
      </w:r>
    </w:p>
    <w:p w14:paraId="27B6B9B1">
      <w:pPr>
        <w:autoSpaceDE w:val="0"/>
        <w:autoSpaceDN w:val="0"/>
        <w:spacing w:line="360" w:lineRule="auto"/>
        <w:ind w:right="-58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（3）取本品10g，研细，加无水乙醇50ml，加热回流2小时，放冷，滤过，滤液浓缩至约20ml，加盐酸3ml，加热回流1小时，加水10ml，放冷，加石油醚（60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90℃）25ml，振摇提取，石油醚液蒸干，残渣加无水乙醇1ml使溶解，作为供试品溶液。另取威灵仙对照药材1g，同法制成对照药材溶液。照薄层色谱法（《中国药典》2020年版四部通则0502）试验，吸取上述两种溶液各3μl，分别点于同一硅胶G薄层板上，以甲苯-乙酸乙酯-甲酸（20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0.2）为展开剂，薄层板置展开缸中预饱和30分钟，展开，取出，晾干，喷以10%硫酸乙醇溶液，在105℃加热至斑点显色清晰。供试品色谱中，在与对照药材色谱相应的位置上，显相同颜色的斑点。</w:t>
      </w:r>
    </w:p>
    <w:p w14:paraId="54F8F927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应符合片剂项下的有关规定（《中国药典》2020年版四部通则0101）。</w:t>
      </w:r>
    </w:p>
    <w:p w14:paraId="60F0435A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】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散瘀化痰，软坚消积止痛。主治证属痰瘀互结之骨恶性肿瘤、骨继发恶性肿瘤，身痛不遂，癥瘕积聚，四肢关节硬肿疼痛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 w:val="24"/>
          <w:szCs w:val="24"/>
        </w:rPr>
        <w:t>。</w:t>
      </w:r>
    </w:p>
    <w:p w14:paraId="2311C268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  口服，一次4片，一日3次。</w:t>
      </w:r>
    </w:p>
    <w:p w14:paraId="6CFD6724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每片重0.3g</w:t>
      </w:r>
    </w:p>
    <w:p w14:paraId="51394EDB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密封，置阴凉干燥处。</w:t>
      </w:r>
    </w:p>
    <w:p w14:paraId="50137880">
      <w:pPr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【</w:t>
      </w:r>
      <w:r>
        <w:rPr>
          <w:rFonts w:hint="eastAsia" w:ascii="黑体" w:hAnsi="黑体" w:eastAsia="黑体" w:cs="Times New Roman"/>
          <w:color w:val="000000"/>
          <w:sz w:val="24"/>
          <w:szCs w:val="24"/>
        </w:rPr>
        <w:t>制剂配制单位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西安市中医医院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B7"/>
    <w:rsid w:val="000E30A5"/>
    <w:rsid w:val="004258DF"/>
    <w:rsid w:val="007A64B7"/>
    <w:rsid w:val="00916AF7"/>
    <w:rsid w:val="009A11B2"/>
    <w:rsid w:val="009F113E"/>
    <w:rsid w:val="00AB03B0"/>
    <w:rsid w:val="00B815FB"/>
    <w:rsid w:val="00C45EBA"/>
    <w:rsid w:val="00D36354"/>
    <w:rsid w:val="00F53976"/>
    <w:rsid w:val="085232A1"/>
    <w:rsid w:val="0F767426"/>
    <w:rsid w:val="525A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1122</Words>
  <Characters>1285</Characters>
  <Lines>9</Lines>
  <Paragraphs>2</Paragraphs>
  <TotalTime>974</TotalTime>
  <ScaleCrop>false</ScaleCrop>
  <LinksUpToDate>false</LinksUpToDate>
  <CharactersWithSpaces>1382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2025-02-08T02:22:00Z</dcterms:created>
  <dc:creator>CP</dc:creator>
  <cp:lastModifiedBy>WPS_1641784537</cp:lastModifiedBy>
  <cp:lastPrinted>2025-02-12T07:52:00Z</cp:lastPrinted>
  <dcterms:modified xsi:type="dcterms:W3CDTF">2025-07-03T07:06:32Z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6D38F14DF230493CA53E5DA89237681B_13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