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9A6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sz w:val="28"/>
          <w:szCs w:val="28"/>
        </w:rPr>
        <w:t>丹七止血丸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Danqi Zhixue Wan</w:t>
      </w:r>
    </w:p>
    <w:p w14:paraId="3A0AEB36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处方</w:t>
      </w:r>
      <w:r>
        <w:rPr>
          <w:rFonts w:ascii="Times New Roman" w:hAnsi="Times New Roman" w:cs="Times New Roman"/>
          <w:sz w:val="24"/>
          <w:szCs w:val="24"/>
        </w:rPr>
        <w:t xml:space="preserve">】  墨旱莲91.5g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地黄73.2g</w:t>
      </w:r>
    </w:p>
    <w:p w14:paraId="68DD6BD3">
      <w:pPr>
        <w:spacing w:line="360" w:lineRule="auto"/>
        <w:ind w:left="1676" w:leftChars="7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郁金73.2g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蒲黄54.9g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丹参91.5g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牡丹皮73.2g</w:t>
      </w:r>
    </w:p>
    <w:p w14:paraId="5D25A397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川芎54.9g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三七36.6g</w:t>
      </w:r>
    </w:p>
    <w:p w14:paraId="74AA8135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荆芥炭73.2g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车前子91.5g</w:t>
      </w:r>
    </w:p>
    <w:p w14:paraId="442C7995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决明子91.5g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白茅根91.5g</w:t>
      </w:r>
    </w:p>
    <w:p w14:paraId="766037DF">
      <w:pPr>
        <w:spacing w:line="360" w:lineRule="auto"/>
        <w:ind w:firstLine="1680" w:firstLineChars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乳香18.3g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地龙18.3g</w:t>
      </w:r>
    </w:p>
    <w:p w14:paraId="60D8C0E8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制法</w:t>
      </w:r>
      <w:r>
        <w:rPr>
          <w:rFonts w:ascii="Times New Roman" w:hAnsi="Times New Roman" w:cs="Times New Roman"/>
          <w:sz w:val="24"/>
          <w:szCs w:val="24"/>
        </w:rPr>
        <w:t>】  以上14味药材，取半处方量丹参与其余药材粉碎，过100目筛，备用；剩余丹参加5倍量60%乙醇提取两次，每次1.5小时，滤过，滤液回收乙醇后的清膏</w:t>
      </w:r>
      <w:r>
        <w:rPr>
          <w:rFonts w:hint="eastAsia" w:ascii="Times New Roman" w:hAnsi="Times New Roman" w:cs="Times New Roman"/>
          <w:sz w:val="24"/>
          <w:szCs w:val="24"/>
        </w:rPr>
        <w:t>（相对密度1.01～1.05，60℃）</w:t>
      </w:r>
      <w:r>
        <w:rPr>
          <w:rFonts w:ascii="Times New Roman" w:hAnsi="Times New Roman" w:cs="Times New Roman"/>
          <w:sz w:val="24"/>
          <w:szCs w:val="24"/>
        </w:rPr>
        <w:t>加热水适量制成10%的淀粉浆1000ml，与上述细粉混匀，制丸，干燥，制成1000g，即得。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性状</w:t>
      </w:r>
      <w:r>
        <w:rPr>
          <w:rFonts w:ascii="Times New Roman" w:hAnsi="Times New Roman" w:cs="Times New Roman"/>
          <w:sz w:val="24"/>
          <w:szCs w:val="24"/>
        </w:rPr>
        <w:t>】  本品为棕黄色至棕褐色的水丸；味微苦。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】  （1）</w:t>
      </w:r>
      <w:r>
        <w:rPr>
          <w:rFonts w:hint="eastAsia" w:ascii="Times New Roman" w:hAnsi="Times New Roman" w:cs="Times New Roman"/>
          <w:sz w:val="24"/>
          <w:szCs w:val="24"/>
        </w:rPr>
        <w:t>取本品，置显微镜下观察：种皮栅状细胞无色或淡黄色，侧面观细胞1列，呈长方形，排列稍不平整，壁较厚，光辉带2条（决明子）。花粉粒类圆形或椭圆形，表面有网状雕纹，周边轮廓线光滑，呈凸波状或齿轮状，具单孔，不甚明显（蒲黄）</w:t>
      </w:r>
    </w:p>
    <w:p w14:paraId="7EEBCF93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z w:val="24"/>
          <w:szCs w:val="24"/>
        </w:rPr>
        <w:t>取本品5g，研细，加水50ml，超声处理20分钟，静置，滤取上清液，滤液加乙醚轻摇提取2次，每次20ml，合并乙醚液，挥干，残渣加乙醚2ml使溶解，作为供试品溶液。取墨旱莲对照药材1.5g，加水30ml，同法制成对照药材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（《中国药典》2020年版四部通则0502）</w:t>
      </w:r>
      <w:r>
        <w:rPr>
          <w:rFonts w:ascii="Times New Roman" w:hAnsi="Times New Roman" w:cs="Times New Roman"/>
          <w:sz w:val="24"/>
          <w:szCs w:val="24"/>
        </w:rPr>
        <w:t>试验，吸取供试品溶液10μl、对照药材溶液2μl，分别点于同一硅胶G薄层板上，以环己烷-乙酸乙酯（9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2）为展开剂，展开，取出，晾干，在紫外光（365nm）下检视。供试品色谱中，在与对照药材色谱相应位置上，显相同的绿色荧光斑点。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）取本品5g，研细，加乙醚30ml，超声处理20分钟，滤过，滤液挥干，残渣加丙酮1ml使溶解，作为供试品溶液。另取丹皮酚对照品，加丙酮制成每1ml含1mg的溶液，作为对照品溶液。照薄层色谱法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（《中国药典》2020年版四部通则0502）</w:t>
      </w:r>
      <w:r>
        <w:rPr>
          <w:rFonts w:ascii="Times New Roman" w:hAnsi="Times New Roman" w:cs="Times New Roman"/>
          <w:sz w:val="24"/>
          <w:szCs w:val="24"/>
        </w:rPr>
        <w:t>试验，吸取上述两种溶液各5～10μl，分别点于同一硅胶G薄层板上，以环己烷-乙酸乙酯（3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）为展开剂，展开，取出，晾干，喷以盐酸酸性5%三氯化铁乙醇溶液（三氯化铁9g，加盐酸5ml，再加乙醇使溶解成100ml），在105℃加热至斑点显色清晰，供试品色谱中，在与对照品色谱相应的位置上，显相同颜色的斑点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）取本品5g，研细，加乙醚50ml，超声处理20分钟，滤过，滤液挥干，残渣加乙酸乙酯2ml使溶解，作为供试品溶液。另取川芎对照药材1g，加乙醚20ml，同法制成对照药材溶液。照薄层色谱法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（《中国药典》2020年版四部通则0502）</w:t>
      </w:r>
      <w:r>
        <w:rPr>
          <w:rFonts w:ascii="Times New Roman" w:hAnsi="Times New Roman" w:cs="Times New Roman"/>
          <w:sz w:val="24"/>
          <w:szCs w:val="24"/>
        </w:rPr>
        <w:t>试验，吸取上述两种溶液各10μl，分别点于同一硅胶G薄层板上，以正己烷-乙酸乙酯（9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）为展开剂，展开，取出，晾干，置紫外光灯（365nm）下检视。供试品色谱中，在与对照药材色谱相应的位置上，显相同颜色的荧光斑点。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）取本品适量，研细，取约10g，加乙醚60ml，超声处理15分钟，滤过，药渣备用，滤液挥干，残渣加乙酸乙酯1ml使溶解，作为供试品溶液。另取丹参酮ⅡA对照品，加乙酸乙酯制成每1ml含2mg的溶液，作为对照品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（《中国药典》2020年版四部通则0502）</w:t>
      </w:r>
      <w:r>
        <w:rPr>
          <w:rFonts w:ascii="Times New Roman" w:hAnsi="Times New Roman" w:cs="Times New Roman"/>
          <w:sz w:val="24"/>
          <w:szCs w:val="24"/>
        </w:rPr>
        <w:t>试验，吸取上述溶液各10μl，分别点于同一硅胶G薄层板上，以甲苯-乙酸乙酯（19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1）为展开剂，展开，取出，晾干。日光下检视，供试品色谱中，在与丹参酮ⅡA对照品色谱相应的位置上，显相同颜色的斑点。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检查</w:t>
      </w:r>
      <w:r>
        <w:rPr>
          <w:rFonts w:ascii="Times New Roman" w:hAnsi="Times New Roman" w:cs="Times New Roman"/>
          <w:sz w:val="24"/>
          <w:szCs w:val="24"/>
        </w:rPr>
        <w:t>】  应符合丸剂项下有关的各项规定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（《中国药典》2020年版四部通则0108）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含量测定</w:t>
      </w:r>
      <w:r>
        <w:rPr>
          <w:rFonts w:ascii="Times New Roman" w:hAnsi="Times New Roman" w:cs="Times New Roman"/>
          <w:sz w:val="24"/>
          <w:szCs w:val="24"/>
        </w:rPr>
        <w:t>】  照高效液相色谱法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（《中国药典》2020年版四部通则0512）</w:t>
      </w:r>
      <w:r>
        <w:rPr>
          <w:rFonts w:ascii="Times New Roman" w:hAnsi="Times New Roman" w:cs="Times New Roman"/>
          <w:sz w:val="24"/>
          <w:szCs w:val="24"/>
        </w:rPr>
        <w:t>测定。</w:t>
      </w:r>
    </w:p>
    <w:p w14:paraId="3D957E2A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色谱条件与系统适用性试验  </w:t>
      </w:r>
      <w:r>
        <w:rPr>
          <w:rFonts w:ascii="Times New Roman" w:hAnsi="Times New Roman" w:cs="Times New Roman"/>
          <w:sz w:val="24"/>
          <w:szCs w:val="24"/>
        </w:rPr>
        <w:t>以十八烷基硅烷键合硅胶为填充剂；以甲醇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水（45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55）为流动相，检测波长为274nm。理论板数按丹皮酚峰计算应不低于3000。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eastAsia="黑体" w:cs="Times New Roman"/>
          <w:sz w:val="24"/>
          <w:szCs w:val="24"/>
        </w:rPr>
        <w:t xml:space="preserve">    对照品溶液  </w:t>
      </w:r>
      <w:r>
        <w:rPr>
          <w:rFonts w:ascii="Times New Roman" w:hAnsi="Times New Roman" w:cs="Times New Roman"/>
          <w:sz w:val="24"/>
          <w:szCs w:val="24"/>
        </w:rPr>
        <w:t>取丹皮酚对照品适量，精密称定，加甲醇制成每1ml含20μg的溶液，即得。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eastAsia="黑体" w:cs="Times New Roman"/>
          <w:sz w:val="24"/>
          <w:szCs w:val="24"/>
        </w:rPr>
        <w:t xml:space="preserve">    供试品溶液  </w:t>
      </w:r>
      <w:r>
        <w:rPr>
          <w:rFonts w:ascii="Times New Roman" w:hAnsi="Times New Roman" w:cs="Times New Roman"/>
          <w:sz w:val="24"/>
          <w:szCs w:val="24"/>
        </w:rPr>
        <w:t>取本品适量，研细，取约0.6g，精密称定，置25ml容量瓶中，加入甲醇20ml，超声处理30分钟，放冷，用甲醇定容至刻度，摇匀，滤过，即得。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eastAsia="黑体" w:cs="Times New Roman"/>
          <w:sz w:val="24"/>
          <w:szCs w:val="24"/>
        </w:rPr>
        <w:t xml:space="preserve">    测定法  </w:t>
      </w:r>
      <w:r>
        <w:rPr>
          <w:rFonts w:ascii="Times New Roman" w:hAnsi="Times New Roman" w:cs="Times New Roman"/>
          <w:sz w:val="24"/>
          <w:szCs w:val="24"/>
        </w:rPr>
        <w:t>分别精密吸取对照品溶液与供试品溶液各10μl，注入液相色谱仪，测定，即得。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本品每克含牡丹皮以丹皮酚（C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）计，不得少于0.80mg。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功能与主治</w:t>
      </w:r>
      <w:r>
        <w:rPr>
          <w:rFonts w:ascii="Times New Roman" w:hAnsi="Times New Roman" w:cs="Times New Roman"/>
          <w:sz w:val="24"/>
          <w:szCs w:val="24"/>
        </w:rPr>
        <w:t>】  凉血止血，活血利水，通络明目。用于糖尿病视网膜病变，视网膜静脉阻塞及视网膜血管炎等引起的眼底出血、渗出、水肿，症见：双目干涩，视物模糊，视物昏花，视力下降，眼底水肿、出血，可伴全身症状如腰膝酸软，头晕目胀等属于阴虚血热，瘀浊阻络证者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用法与用量</w:t>
      </w:r>
      <w:r>
        <w:rPr>
          <w:rFonts w:ascii="Times New Roman" w:hAnsi="Times New Roman" w:cs="Times New Roman"/>
          <w:sz w:val="24"/>
          <w:szCs w:val="24"/>
        </w:rPr>
        <w:t>】  口服。一次1袋，一日2～3次。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规格</w:t>
      </w:r>
      <w:r>
        <w:rPr>
          <w:rFonts w:ascii="Times New Roman" w:hAnsi="Times New Roman" w:cs="Times New Roman"/>
          <w:sz w:val="24"/>
          <w:szCs w:val="24"/>
        </w:rPr>
        <w:t>】  每袋装4g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 【</w:t>
      </w:r>
      <w:r>
        <w:rPr>
          <w:rFonts w:ascii="Times New Roman" w:hAnsi="Times New Roman" w:eastAsia="黑体" w:cs="Times New Roman"/>
          <w:sz w:val="24"/>
          <w:szCs w:val="24"/>
        </w:rPr>
        <w:t>贮藏</w:t>
      </w:r>
      <w:r>
        <w:rPr>
          <w:rFonts w:ascii="Times New Roman" w:hAnsi="Times New Roman" w:cs="Times New Roman"/>
          <w:sz w:val="24"/>
          <w:szCs w:val="24"/>
        </w:rPr>
        <w:t>】  密封、阴凉干燥处贮藏。</w:t>
      </w:r>
    </w:p>
    <w:p w14:paraId="553CC90E">
      <w:pPr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【制剂配制单位】</w:t>
      </w:r>
      <w:r>
        <w:rPr>
          <w:rFonts w:ascii="Times New Roman" w:hAnsi="Times New Roman" w:cs="Times New Roman"/>
          <w:color w:val="000000"/>
          <w:sz w:val="24"/>
        </w:rPr>
        <w:t xml:space="preserve">  西安市人民医院（西安市第四医院）</w:t>
      </w:r>
    </w:p>
    <w:p w14:paraId="3B8BDB42">
      <w:pPr>
        <w:widowControl/>
        <w:jc w:val="left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77"/>
    <w:rsid w:val="00037F24"/>
    <w:rsid w:val="000F5377"/>
    <w:rsid w:val="001A4D31"/>
    <w:rsid w:val="00283F6F"/>
    <w:rsid w:val="00286F4F"/>
    <w:rsid w:val="004D6736"/>
    <w:rsid w:val="004E0EEB"/>
    <w:rsid w:val="00507229"/>
    <w:rsid w:val="00547B2A"/>
    <w:rsid w:val="005B6F5A"/>
    <w:rsid w:val="005C5CF7"/>
    <w:rsid w:val="005E5628"/>
    <w:rsid w:val="006A41A6"/>
    <w:rsid w:val="007937FC"/>
    <w:rsid w:val="007A165D"/>
    <w:rsid w:val="008232D4"/>
    <w:rsid w:val="00893A62"/>
    <w:rsid w:val="00893CC2"/>
    <w:rsid w:val="008B55F8"/>
    <w:rsid w:val="008C45FE"/>
    <w:rsid w:val="008D04B9"/>
    <w:rsid w:val="0094586E"/>
    <w:rsid w:val="009743AF"/>
    <w:rsid w:val="00A25C9F"/>
    <w:rsid w:val="00A453B9"/>
    <w:rsid w:val="00AA0339"/>
    <w:rsid w:val="00AE29D1"/>
    <w:rsid w:val="00AF683E"/>
    <w:rsid w:val="00B356AB"/>
    <w:rsid w:val="00B56070"/>
    <w:rsid w:val="00B82543"/>
    <w:rsid w:val="00B9551B"/>
    <w:rsid w:val="00C2463E"/>
    <w:rsid w:val="00CD130C"/>
    <w:rsid w:val="00CE4069"/>
    <w:rsid w:val="00D46BF1"/>
    <w:rsid w:val="00DB095B"/>
    <w:rsid w:val="00DC2315"/>
    <w:rsid w:val="00E955C6"/>
    <w:rsid w:val="00ED0D2A"/>
    <w:rsid w:val="00F979D4"/>
    <w:rsid w:val="0FD365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1558</Words>
  <Characters>1804</Characters>
  <Lines>14</Lines>
  <Paragraphs>4</Paragraphs>
  <TotalTime>16</TotalTime>
  <ScaleCrop>false</ScaleCrop>
  <LinksUpToDate>false</LinksUpToDate>
  <CharactersWithSpaces>2016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2023-12-11T02:37:00Z</dcterms:created>
  <dc:creator>Lenovo</dc:creator>
  <cp:lastModifiedBy>WPS_1641784537</cp:lastModifiedBy>
  <cp:lastPrinted>2024-12-20T08:51:00Z</cp:lastPrinted>
  <dcterms:modified xsi:type="dcterms:W3CDTF">2025-07-03T02:35:40Z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E3BA7EAADC44457C9D227FAAA191A8F4_13</vt:lpwstr>
  </property>
</Properties>
</file>