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8E43A1">
      <w:pPr>
        <w:autoSpaceDE w:val="0"/>
        <w:autoSpaceDN w:val="0"/>
        <w:spacing w:line="360" w:lineRule="auto"/>
        <w:jc w:val="center"/>
        <w:rPr>
          <w:rFonts w:ascii="Times New Roman" w:hAnsi="Times New Roman" w:eastAsia="黑体" w:cs="Times New Roman"/>
          <w:sz w:val="28"/>
          <w:szCs w:val="28"/>
        </w:rPr>
      </w:pPr>
      <w:r>
        <w:rPr>
          <w:rFonts w:ascii="Times New Roman" w:hAnsi="Times New Roman" w:eastAsia="黑体" w:cs="Times New Roman"/>
          <w:color w:val="000000"/>
          <w:sz w:val="28"/>
          <w:szCs w:val="28"/>
        </w:rPr>
        <w:t>参芪利湿益肾丸</w:t>
      </w:r>
    </w:p>
    <w:p w14:paraId="77AC7C1C">
      <w:pPr>
        <w:autoSpaceDE w:val="0"/>
        <w:autoSpaceDN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Shenqi Lishi Yishen Wan</w:t>
      </w:r>
    </w:p>
    <w:p w14:paraId="50E2A5C5">
      <w:pPr>
        <w:tabs>
          <w:tab w:val="left" w:pos="8222"/>
        </w:tabs>
        <w:autoSpaceDE w:val="0"/>
        <w:autoSpaceDN w:val="0"/>
        <w:spacing w:line="360" w:lineRule="auto"/>
        <w:ind w:right="78"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宋体" w:cs="Times New Roman"/>
          <w:color w:val="000000"/>
          <w:sz w:val="24"/>
        </w:rPr>
        <w:t>【</w:t>
      </w:r>
      <w:r>
        <w:rPr>
          <w:rFonts w:ascii="Times New Roman" w:hAnsi="Times New Roman" w:eastAsia="黑体" w:cs="Times New Roman"/>
          <w:color w:val="000000"/>
          <w:sz w:val="24"/>
        </w:rPr>
        <w:t>处方</w:t>
      </w:r>
      <w:r>
        <w:rPr>
          <w:rFonts w:ascii="Times New Roman" w:hAnsi="Times New Roman" w:eastAsia="宋体" w:cs="Times New Roman"/>
          <w:color w:val="000000"/>
          <w:sz w:val="24"/>
        </w:rPr>
        <w:t>】</w:t>
      </w:r>
      <w:r>
        <w:rPr>
          <w:rFonts w:hint="eastAsia" w:ascii="Times New Roman" w:hAnsi="Times New Roman" w:eastAsia="宋体" w:cs="Times New Roman"/>
          <w:color w:val="000000"/>
          <w:sz w:val="24"/>
        </w:rPr>
        <w:t xml:space="preserve">    </w:t>
      </w:r>
      <w:r>
        <w:rPr>
          <w:rFonts w:ascii="Times New Roman" w:hAnsi="Times New Roman" w:eastAsia="宋体" w:cs="Times New Roman"/>
          <w:color w:val="000000"/>
          <w:sz w:val="24"/>
        </w:rPr>
        <w:t xml:space="preserve">黄芪270g                 </w:t>
      </w:r>
      <w:r>
        <w:rPr>
          <w:rFonts w:hint="eastAsia" w:ascii="Times New Roman" w:hAnsi="Times New Roman" w:eastAsia="宋体" w:cs="Times New Roman"/>
          <w:color w:val="000000"/>
          <w:sz w:val="24"/>
        </w:rPr>
        <w:t xml:space="preserve">                   </w:t>
      </w:r>
      <w:r>
        <w:rPr>
          <w:rFonts w:ascii="Times New Roman" w:hAnsi="Times New Roman" w:eastAsia="宋体" w:cs="Times New Roman"/>
          <w:color w:val="000000"/>
          <w:sz w:val="24"/>
        </w:rPr>
        <w:t xml:space="preserve">  党参135g</w:t>
      </w:r>
    </w:p>
    <w:p w14:paraId="38B8BFF4">
      <w:pPr>
        <w:autoSpaceDE w:val="0"/>
        <w:autoSpaceDN w:val="0"/>
        <w:spacing w:line="360" w:lineRule="auto"/>
        <w:ind w:right="78" w:firstLine="1680" w:firstLineChars="7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eastAsia="宋体" w:cs="Times New Roman"/>
          <w:color w:val="000000"/>
          <w:sz w:val="24"/>
        </w:rPr>
        <w:t xml:space="preserve">薏苡仁180g              </w:t>
      </w:r>
      <w:r>
        <w:rPr>
          <w:rFonts w:hint="eastAsia" w:ascii="Times New Roman" w:hAnsi="Times New Roman" w:eastAsia="宋体" w:cs="Times New Roman"/>
          <w:color w:val="000000"/>
          <w:sz w:val="24"/>
        </w:rPr>
        <w:t xml:space="preserve">                 </w:t>
      </w:r>
      <w:r>
        <w:rPr>
          <w:rFonts w:ascii="Times New Roman" w:hAnsi="Times New Roman" w:eastAsia="宋体" w:cs="Times New Roman"/>
          <w:color w:val="000000"/>
          <w:sz w:val="24"/>
        </w:rPr>
        <w:t xml:space="preserve">   茯苓135g</w:t>
      </w:r>
    </w:p>
    <w:p w14:paraId="2C84ECD2">
      <w:pPr>
        <w:autoSpaceDE w:val="0"/>
        <w:autoSpaceDN w:val="0"/>
        <w:spacing w:line="360" w:lineRule="auto"/>
        <w:ind w:right="78" w:firstLine="1699" w:firstLineChars="708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宋体" w:cs="Times New Roman"/>
          <w:color w:val="000000"/>
          <w:sz w:val="24"/>
        </w:rPr>
        <w:t xml:space="preserve">蛹虫草108g             </w:t>
      </w:r>
      <w:r>
        <w:rPr>
          <w:rFonts w:hint="eastAsia" w:ascii="Times New Roman" w:hAnsi="Times New Roman" w:eastAsia="宋体" w:cs="Times New Roman"/>
          <w:color w:val="000000"/>
          <w:sz w:val="24"/>
        </w:rPr>
        <w:t xml:space="preserve">                 </w:t>
      </w:r>
      <w:r>
        <w:rPr>
          <w:rFonts w:ascii="Times New Roman" w:hAnsi="Times New Roman" w:eastAsia="宋体" w:cs="Times New Roman"/>
          <w:color w:val="000000"/>
          <w:sz w:val="24"/>
        </w:rPr>
        <w:t xml:space="preserve">    泽泻81g</w:t>
      </w:r>
    </w:p>
    <w:p w14:paraId="1B1ED2E3">
      <w:pPr>
        <w:autoSpaceDE w:val="0"/>
        <w:autoSpaceDN w:val="0"/>
        <w:spacing w:line="360" w:lineRule="auto"/>
        <w:ind w:right="78" w:firstLine="1699" w:firstLineChars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eastAsia="宋体" w:cs="Times New Roman"/>
          <w:color w:val="000000"/>
          <w:sz w:val="24"/>
        </w:rPr>
        <w:t xml:space="preserve">山药180g                   </w:t>
      </w:r>
      <w:r>
        <w:rPr>
          <w:rFonts w:hint="eastAsia" w:ascii="Times New Roman" w:hAnsi="Times New Roman" w:eastAsia="宋体" w:cs="Times New Roman"/>
          <w:color w:val="000000"/>
          <w:sz w:val="24"/>
        </w:rPr>
        <w:t xml:space="preserve">                   </w:t>
      </w:r>
      <w:r>
        <w:rPr>
          <w:rFonts w:ascii="Times New Roman" w:hAnsi="Times New Roman" w:eastAsia="宋体" w:cs="Times New Roman"/>
          <w:color w:val="000000"/>
          <w:sz w:val="24"/>
        </w:rPr>
        <w:t>红花81g</w:t>
      </w:r>
    </w:p>
    <w:p w14:paraId="2C84506C">
      <w:pPr>
        <w:autoSpaceDE w:val="0"/>
        <w:autoSpaceDN w:val="0"/>
        <w:spacing w:line="360" w:lineRule="auto"/>
        <w:ind w:right="78" w:firstLine="1699" w:firstLineChars="708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宋体" w:cs="Times New Roman"/>
          <w:color w:val="000000"/>
          <w:sz w:val="24"/>
        </w:rPr>
        <w:t xml:space="preserve">山茱萸108g               </w:t>
      </w:r>
      <w:r>
        <w:rPr>
          <w:rFonts w:hint="eastAsia" w:ascii="Times New Roman" w:hAnsi="Times New Roman" w:eastAsia="宋体" w:cs="Times New Roman"/>
          <w:color w:val="000000"/>
          <w:sz w:val="24"/>
        </w:rPr>
        <w:t xml:space="preserve">                  </w:t>
      </w:r>
      <w:r>
        <w:rPr>
          <w:rFonts w:ascii="Times New Roman" w:hAnsi="Times New Roman" w:eastAsia="宋体" w:cs="Times New Roman"/>
          <w:color w:val="000000"/>
          <w:sz w:val="24"/>
        </w:rPr>
        <w:t xml:space="preserve"> 地黄108g</w:t>
      </w:r>
    </w:p>
    <w:p w14:paraId="7DF0BDB3">
      <w:pPr>
        <w:autoSpaceDE w:val="0"/>
        <w:autoSpaceDN w:val="0"/>
        <w:spacing w:line="360" w:lineRule="auto"/>
        <w:ind w:right="78" w:firstLine="1699" w:firstLineChars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eastAsia="宋体" w:cs="Times New Roman"/>
          <w:color w:val="000000"/>
          <w:sz w:val="24"/>
        </w:rPr>
        <w:t xml:space="preserve">当归108g                   </w:t>
      </w:r>
      <w:r>
        <w:rPr>
          <w:rFonts w:hint="eastAsia" w:ascii="Times New Roman" w:hAnsi="Times New Roman" w:eastAsia="宋体" w:cs="Times New Roman"/>
          <w:color w:val="000000"/>
          <w:sz w:val="24"/>
        </w:rPr>
        <w:t xml:space="preserve">                   </w:t>
      </w:r>
      <w:r>
        <w:rPr>
          <w:rFonts w:ascii="Times New Roman" w:hAnsi="Times New Roman" w:eastAsia="宋体" w:cs="Times New Roman"/>
          <w:color w:val="000000"/>
          <w:sz w:val="24"/>
        </w:rPr>
        <w:t>赤芍108g</w:t>
      </w:r>
    </w:p>
    <w:p w14:paraId="6BC1F08F">
      <w:pPr>
        <w:autoSpaceDE w:val="0"/>
        <w:autoSpaceDN w:val="0"/>
        <w:spacing w:line="360" w:lineRule="auto"/>
        <w:ind w:right="78" w:firstLine="1699" w:firstLineChars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eastAsia="宋体" w:cs="Times New Roman"/>
          <w:color w:val="000000"/>
          <w:sz w:val="24"/>
        </w:rPr>
        <w:t>大黄135g</w:t>
      </w:r>
    </w:p>
    <w:p w14:paraId="0963BDA6">
      <w:pPr>
        <w:autoSpaceDE w:val="0"/>
        <w:autoSpaceDN w:val="0"/>
        <w:spacing w:line="360" w:lineRule="auto"/>
        <w:ind w:right="78"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eastAsia="宋体" w:cs="Times New Roman"/>
          <w:color w:val="000000"/>
          <w:sz w:val="24"/>
        </w:rPr>
        <w:t>【</w:t>
      </w:r>
      <w:r>
        <w:rPr>
          <w:rFonts w:ascii="Times New Roman" w:hAnsi="Times New Roman" w:eastAsia="黑体" w:cs="Times New Roman"/>
          <w:color w:val="000000"/>
          <w:sz w:val="24"/>
        </w:rPr>
        <w:t>制法</w:t>
      </w:r>
      <w:r>
        <w:rPr>
          <w:rFonts w:ascii="Times New Roman" w:hAnsi="Times New Roman" w:eastAsia="宋体" w:cs="Times New Roman"/>
          <w:color w:val="000000"/>
          <w:sz w:val="24"/>
        </w:rPr>
        <w:t>】</w:t>
      </w:r>
      <w:r>
        <w:rPr>
          <w:rFonts w:hint="eastAsia" w:ascii="Times New Roman" w:hAnsi="Times New Roman" w:eastAsia="宋体" w:cs="Times New Roman"/>
          <w:color w:val="000000"/>
          <w:sz w:val="24"/>
        </w:rPr>
        <w:t xml:space="preserve">  </w:t>
      </w:r>
      <w:r>
        <w:rPr>
          <w:rFonts w:ascii="Times New Roman" w:hAnsi="Times New Roman" w:eastAsia="宋体" w:cs="Times New Roman"/>
          <w:color w:val="000000"/>
          <w:sz w:val="24"/>
        </w:rPr>
        <w:t>以上十三味，薏苡仁、茯苓、蛹虫草、山药、山茱萸、当归、大黄七味，粉碎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为</w:t>
      </w:r>
      <w:bookmarkStart w:id="0" w:name="_GoBack"/>
      <w:bookmarkEnd w:id="0"/>
      <w:r>
        <w:rPr>
          <w:rFonts w:ascii="Times New Roman" w:hAnsi="Times New Roman" w:eastAsia="宋体" w:cs="Times New Roman"/>
          <w:color w:val="000000"/>
          <w:sz w:val="24"/>
        </w:rPr>
        <w:t>细粉，过100目筛，混匀，备用；其余黄芪等六味加8倍量水煎煮三次，每次1.5小时，合并煎液，滤过，滤液浓缩至相对密度1.30～1.35（60℃）的清膏，与上述细粉混匀，干燥（60℃），粉碎为细粉，过100目筛，混匀，制丸，干燥（60℃），共制成1000g，即得。</w:t>
      </w:r>
    </w:p>
    <w:p w14:paraId="7300C185">
      <w:pPr>
        <w:autoSpaceDE w:val="0"/>
        <w:autoSpaceDN w:val="0"/>
        <w:spacing w:line="360" w:lineRule="auto"/>
        <w:ind w:right="78"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eastAsia="宋体" w:cs="Times New Roman"/>
          <w:color w:val="000000"/>
          <w:sz w:val="24"/>
        </w:rPr>
        <w:t>【</w:t>
      </w:r>
      <w:r>
        <w:rPr>
          <w:rFonts w:ascii="Times New Roman" w:hAnsi="Times New Roman" w:eastAsia="黑体" w:cs="Times New Roman"/>
          <w:color w:val="000000"/>
          <w:sz w:val="24"/>
        </w:rPr>
        <w:t>性状</w:t>
      </w:r>
      <w:r>
        <w:rPr>
          <w:rFonts w:ascii="Times New Roman" w:hAnsi="Times New Roman" w:eastAsia="宋体" w:cs="Times New Roman"/>
          <w:color w:val="000000"/>
          <w:sz w:val="24"/>
        </w:rPr>
        <w:t xml:space="preserve">】  </w:t>
      </w:r>
      <w:r>
        <w:rPr>
          <w:rFonts w:hint="eastAsia" w:ascii="Times New Roman" w:hAnsi="Times New Roman" w:eastAsia="宋体" w:cs="Times New Roman"/>
          <w:color w:val="000000"/>
          <w:sz w:val="24"/>
        </w:rPr>
        <w:t xml:space="preserve">  </w:t>
      </w:r>
      <w:r>
        <w:rPr>
          <w:rFonts w:ascii="Times New Roman" w:hAnsi="Times New Roman" w:eastAsia="宋体" w:cs="Times New Roman"/>
          <w:color w:val="000000"/>
          <w:sz w:val="24"/>
        </w:rPr>
        <w:t>本品为棕褐色至黑褐色的浓缩丸；气微香，味微酸涩。</w:t>
      </w:r>
    </w:p>
    <w:p w14:paraId="30C30CA8">
      <w:pPr>
        <w:autoSpaceDE w:val="0"/>
        <w:autoSpaceDN w:val="0"/>
        <w:spacing w:line="360" w:lineRule="auto"/>
        <w:ind w:right="78" w:firstLine="480" w:firstLineChars="200"/>
        <w:rPr>
          <w:rFonts w:ascii="Times New Roman" w:hAnsi="Times New Roman" w:cs="Times New Roman"/>
          <w:sz w:val="25"/>
        </w:rPr>
      </w:pPr>
      <w:r>
        <w:rPr>
          <w:rFonts w:ascii="Times New Roman" w:hAnsi="Times New Roman" w:eastAsia="宋体" w:cs="Times New Roman"/>
          <w:color w:val="000000"/>
          <w:sz w:val="24"/>
        </w:rPr>
        <w:t>【</w:t>
      </w:r>
      <w:r>
        <w:rPr>
          <w:rFonts w:ascii="Times New Roman" w:hAnsi="Times New Roman" w:eastAsia="黑体" w:cs="Times New Roman"/>
          <w:color w:val="000000"/>
          <w:sz w:val="24"/>
        </w:rPr>
        <w:t>鉴别</w:t>
      </w:r>
      <w:r>
        <w:rPr>
          <w:rFonts w:ascii="Times New Roman" w:hAnsi="Times New Roman" w:eastAsia="宋体" w:cs="Times New Roman"/>
          <w:color w:val="000000"/>
          <w:sz w:val="24"/>
        </w:rPr>
        <w:t>】</w:t>
      </w:r>
      <w:r>
        <w:rPr>
          <w:rFonts w:hint="eastAsia" w:ascii="Times New Roman" w:hAnsi="Times New Roman" w:eastAsia="宋体" w:cs="Times New Roman"/>
          <w:color w:val="000000"/>
          <w:sz w:val="24"/>
        </w:rPr>
        <w:t xml:space="preserve">  </w:t>
      </w:r>
      <w:r>
        <w:rPr>
          <w:rFonts w:ascii="Times New Roman" w:hAnsi="Times New Roman" w:eastAsia="宋体" w:cs="Times New Roman"/>
          <w:color w:val="000000"/>
          <w:sz w:val="24"/>
        </w:rPr>
        <w:t>（1）取本品，置显微镜下观察：淀粉粒呈扁卵形、三角状卵形、矩圆形或类圆形，直径8～35μm，层纹可见（山药）。不规则碎块淡棕黄色至近无色，半透明或不透明，棱角明显，表面凹凸不平，颗粒性，隐约可见不规则细网文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；</w:t>
      </w:r>
      <w:r>
        <w:rPr>
          <w:rFonts w:ascii="Times New Roman" w:hAnsi="Times New Roman" w:eastAsia="宋体" w:cs="Times New Roman"/>
          <w:color w:val="000000"/>
          <w:sz w:val="24"/>
        </w:rPr>
        <w:t>水合氯醛透化后大部分碎块边缘模糊，有的碎块可见微细菌丝（蛹虫草）。不规则分枝状团块无色，遇水合氯醛液渐溶化，菌丝无色或淡棕色，稍弯曲，直径3</w:t>
      </w:r>
      <w:r>
        <w:rPr>
          <w:rFonts w:hint="eastAsia" w:ascii="Times New Roman" w:hAnsi="Times New Roman" w:eastAsia="宋体" w:cs="Times New Roman"/>
          <w:color w:val="000000"/>
          <w:sz w:val="24"/>
        </w:rPr>
        <w:t>～</w:t>
      </w:r>
      <w:r>
        <w:rPr>
          <w:rFonts w:ascii="Times New Roman" w:hAnsi="Times New Roman" w:eastAsia="宋体" w:cs="Times New Roman"/>
          <w:color w:val="000000"/>
          <w:sz w:val="24"/>
        </w:rPr>
        <w:t>8μm（茯苓）。草酸钙簇晶体大，棱角整齐（大黄）。果皮表皮细胞橙黄色，</w:t>
      </w:r>
      <w:r>
        <w:rPr>
          <w:rFonts w:ascii="Times New Roman" w:hAnsi="Times New Roman" w:eastAsia="宋体" w:cs="Times New Roman"/>
          <w:color w:val="000000"/>
          <w:sz w:val="25"/>
        </w:rPr>
        <w:t>表面观类多角形，垂周壁连珠状加厚（山茱萸）。薄壁细胞纺锤形，壁略厚，表面有微细的斜向交错纹理（当归）。</w:t>
      </w:r>
    </w:p>
    <w:p w14:paraId="430D4B1D">
      <w:pPr>
        <w:autoSpaceDE w:val="0"/>
        <w:autoSpaceDN w:val="0"/>
        <w:spacing w:line="360" w:lineRule="auto"/>
        <w:ind w:right="78" w:firstLine="500" w:firstLineChars="200"/>
        <w:rPr>
          <w:rFonts w:ascii="Times New Roman" w:hAnsi="Times New Roman" w:cs="Times New Roman"/>
          <w:sz w:val="25"/>
        </w:rPr>
      </w:pPr>
      <w:r>
        <w:rPr>
          <w:rFonts w:ascii="Times New Roman" w:hAnsi="Times New Roman" w:eastAsia="宋体" w:cs="Times New Roman"/>
          <w:color w:val="000000"/>
          <w:sz w:val="25"/>
        </w:rPr>
        <w:t>（2）取本品适量，研细，取粉末10g，加水30ml，振摇5分钟，离心，取上清液加水饱和的正丁醇提取两次，每次20ml，合并正丁醇液，蒸干，残渣加甲醇1ml使溶解，作为供试品溶液。另取芍药苷对照品，加乙醇制成每1ml含2mg的溶液，作为对照品溶液。照薄层色谱法（《中国药典》20</w:t>
      </w:r>
      <w:r>
        <w:rPr>
          <w:rFonts w:hint="eastAsia" w:ascii="Times New Roman" w:hAnsi="Times New Roman" w:eastAsia="宋体" w:cs="Times New Roman"/>
          <w:color w:val="000000"/>
          <w:sz w:val="25"/>
        </w:rPr>
        <w:t>20</w:t>
      </w:r>
      <w:r>
        <w:rPr>
          <w:rFonts w:ascii="Times New Roman" w:hAnsi="Times New Roman" w:eastAsia="宋体" w:cs="Times New Roman"/>
          <w:color w:val="000000"/>
          <w:sz w:val="25"/>
        </w:rPr>
        <w:t>年版四部通则0502）试验，吸取上述溶液各2μl，分别点于同一硅胶G薄层板上，以二氯甲烷-甲醇-乙酸乙酯（40</w:t>
      </w:r>
      <w:r>
        <w:rPr>
          <w:rFonts w:hint="eastAsia" w:ascii="Times New Roman" w:hAnsi="Times New Roman" w:eastAsia="宋体" w:cs="Times New Roman"/>
          <w:color w:val="000000"/>
          <w:sz w:val="25"/>
        </w:rPr>
        <w:t>∶</w:t>
      </w:r>
      <w:r>
        <w:rPr>
          <w:rFonts w:ascii="Times New Roman" w:hAnsi="Times New Roman" w:eastAsia="宋体" w:cs="Times New Roman"/>
          <w:color w:val="000000"/>
          <w:sz w:val="25"/>
        </w:rPr>
        <w:t>10</w:t>
      </w:r>
      <w:r>
        <w:rPr>
          <w:rFonts w:hint="eastAsia" w:ascii="Times New Roman" w:hAnsi="Times New Roman" w:eastAsia="宋体" w:cs="Times New Roman"/>
          <w:color w:val="000000"/>
          <w:sz w:val="25"/>
        </w:rPr>
        <w:t>∶</w:t>
      </w:r>
      <w:r>
        <w:rPr>
          <w:rFonts w:ascii="Times New Roman" w:hAnsi="Times New Roman" w:eastAsia="宋体" w:cs="Times New Roman"/>
          <w:color w:val="000000"/>
          <w:sz w:val="25"/>
        </w:rPr>
        <w:t>5）为展开剂，展开，取出，晾干，喷以3%香草醛硫酸溶液，加热至斑点显色清晰。供试品色谱中，在与对照品色谱相应的位置上，显相同颜色的斑点。</w:t>
      </w:r>
    </w:p>
    <w:p w14:paraId="3026FE7B">
      <w:pPr>
        <w:autoSpaceDE w:val="0"/>
        <w:autoSpaceDN w:val="0"/>
        <w:spacing w:line="360" w:lineRule="auto"/>
        <w:ind w:right="78" w:firstLine="500" w:firstLineChars="200"/>
        <w:rPr>
          <w:rFonts w:ascii="Times New Roman" w:hAnsi="Times New Roman" w:cs="Times New Roman"/>
          <w:sz w:val="25"/>
        </w:rPr>
      </w:pPr>
      <w:r>
        <w:rPr>
          <w:rFonts w:ascii="Times New Roman" w:hAnsi="Times New Roman" w:eastAsia="宋体" w:cs="Times New Roman"/>
          <w:color w:val="000000"/>
          <w:sz w:val="25"/>
        </w:rPr>
        <w:t>（3）取本品适量，研细，取粉末20g，加乙酸乙酯50ml，超声处理30分钟，滤过，滤液加于氧化铝柱（200</w:t>
      </w:r>
      <w:r>
        <w:rPr>
          <w:rFonts w:hint="eastAsia" w:ascii="Times New Roman" w:hAnsi="Times New Roman" w:eastAsia="宋体" w:cs="Times New Roman"/>
          <w:color w:val="000000"/>
          <w:sz w:val="25"/>
        </w:rPr>
        <w:t>～</w:t>
      </w:r>
      <w:r>
        <w:rPr>
          <w:rFonts w:ascii="Times New Roman" w:hAnsi="Times New Roman" w:eastAsia="宋体" w:cs="Times New Roman"/>
          <w:color w:val="000000"/>
          <w:sz w:val="25"/>
        </w:rPr>
        <w:t>300目，5g，内径为1cm，干法装柱）上，用乙酸乙酯30ml洗脱，收集洗脱液，蒸干，残渣加乙酸乙酯2ml使溶解，作为供试品溶液。另取泽泻对照药材2g，同法制成对照药材溶液。照薄层色谱法（《中国药典》20</w:t>
      </w:r>
      <w:r>
        <w:rPr>
          <w:rFonts w:hint="eastAsia" w:ascii="Times New Roman" w:hAnsi="Times New Roman" w:eastAsia="宋体" w:cs="Times New Roman"/>
          <w:color w:val="000000"/>
          <w:sz w:val="25"/>
        </w:rPr>
        <w:t>20</w:t>
      </w:r>
      <w:r>
        <w:rPr>
          <w:rFonts w:ascii="Times New Roman" w:hAnsi="Times New Roman" w:eastAsia="宋体" w:cs="Times New Roman"/>
          <w:color w:val="000000"/>
          <w:sz w:val="25"/>
        </w:rPr>
        <w:t>年版四部通则0502）试验，吸取上述溶液各10μl，分别点于同一硅胶H薄层板上，以环己烷-乙酸乙酯（1</w:t>
      </w:r>
      <w:r>
        <w:rPr>
          <w:rFonts w:hint="eastAsia" w:ascii="Times New Roman" w:hAnsi="Times New Roman" w:eastAsia="宋体" w:cs="Times New Roman"/>
          <w:color w:val="000000"/>
          <w:sz w:val="25"/>
        </w:rPr>
        <w:t>∶</w:t>
      </w:r>
      <w:r>
        <w:rPr>
          <w:rFonts w:ascii="Times New Roman" w:hAnsi="Times New Roman" w:eastAsia="宋体" w:cs="Times New Roman"/>
          <w:color w:val="000000"/>
          <w:sz w:val="25"/>
        </w:rPr>
        <w:t>1）为展开剂，展开，取出，晾干，喷以10%磷钼酸乙醇溶液，在105℃加热至斑点显色清晰。供试品色谱中，在与对照药材色谱相应的位置上，显相同颜色的斑点。</w:t>
      </w:r>
    </w:p>
    <w:p w14:paraId="59DE101C">
      <w:pPr>
        <w:autoSpaceDE w:val="0"/>
        <w:autoSpaceDN w:val="0"/>
        <w:spacing w:line="360" w:lineRule="auto"/>
        <w:ind w:right="78" w:firstLine="500" w:firstLineChars="200"/>
        <w:rPr>
          <w:rFonts w:ascii="Times New Roman" w:hAnsi="Times New Roman" w:eastAsia="宋体" w:cs="Times New Roman"/>
          <w:color w:val="000000"/>
          <w:sz w:val="25"/>
        </w:rPr>
      </w:pPr>
      <w:r>
        <w:rPr>
          <w:rFonts w:ascii="Times New Roman" w:hAnsi="Times New Roman" w:eastAsia="宋体" w:cs="Times New Roman"/>
          <w:color w:val="000000"/>
          <w:sz w:val="25"/>
        </w:rPr>
        <w:t>【</w:t>
      </w:r>
      <w:r>
        <w:rPr>
          <w:rFonts w:ascii="Times New Roman" w:hAnsi="Times New Roman" w:eastAsia="黑体" w:cs="Times New Roman"/>
          <w:color w:val="000000"/>
          <w:sz w:val="25"/>
        </w:rPr>
        <w:t>检查</w:t>
      </w:r>
      <w:r>
        <w:rPr>
          <w:rFonts w:ascii="Times New Roman" w:hAnsi="Times New Roman" w:eastAsia="宋体" w:cs="Times New Roman"/>
          <w:color w:val="000000"/>
          <w:sz w:val="25"/>
        </w:rPr>
        <w:t>】  应符合丸剂项下有关的各项规定（《中国药典》2020年版四部通则0108）。</w:t>
      </w:r>
    </w:p>
    <w:p w14:paraId="502D730E">
      <w:pPr>
        <w:autoSpaceDE w:val="0"/>
        <w:autoSpaceDN w:val="0"/>
        <w:spacing w:line="360" w:lineRule="auto"/>
        <w:ind w:right="78" w:firstLine="500" w:firstLineChars="200"/>
        <w:rPr>
          <w:rFonts w:ascii="Times New Roman" w:hAnsi="Times New Roman" w:eastAsia="宋体" w:cs="Times New Roman"/>
          <w:color w:val="000000"/>
          <w:sz w:val="25"/>
        </w:rPr>
      </w:pPr>
      <w:r>
        <w:rPr>
          <w:rFonts w:ascii="Times New Roman" w:hAnsi="Times New Roman" w:eastAsia="宋体" w:cs="Times New Roman"/>
          <w:color w:val="000000"/>
          <w:sz w:val="25"/>
        </w:rPr>
        <w:t>【</w:t>
      </w:r>
      <w:r>
        <w:rPr>
          <w:rFonts w:ascii="Times New Roman" w:hAnsi="Times New Roman" w:eastAsia="黑体" w:cs="Times New Roman"/>
          <w:color w:val="000000"/>
          <w:sz w:val="25"/>
        </w:rPr>
        <w:t>功能与主治</w:t>
      </w:r>
      <w:r>
        <w:rPr>
          <w:rFonts w:ascii="Times New Roman" w:hAnsi="Times New Roman" w:eastAsia="宋体" w:cs="Times New Roman"/>
          <w:color w:val="000000"/>
          <w:sz w:val="25"/>
        </w:rPr>
        <w:t>】</w:t>
      </w:r>
      <w:r>
        <w:rPr>
          <w:rFonts w:hint="eastAsia" w:ascii="Times New Roman" w:hAnsi="Times New Roman" w:eastAsia="宋体" w:cs="Times New Roman"/>
          <w:color w:val="000000"/>
          <w:sz w:val="25"/>
        </w:rPr>
        <w:t xml:space="preserve">  </w:t>
      </w:r>
      <w:r>
        <w:rPr>
          <w:rFonts w:ascii="Times New Roman" w:hAnsi="Times New Roman" w:eastAsia="宋体" w:cs="Times New Roman"/>
          <w:color w:val="000000"/>
          <w:sz w:val="25"/>
        </w:rPr>
        <w:t>补肾健脾，活血化瘀，降浊排毒，利尿消肿。用于脾肾气虚型慢性肾炎，肾病综合征及慢性肾衰竭。症见：面色萎黄、肢体浮肿，少气无力，腰背酸痛等。</w:t>
      </w:r>
    </w:p>
    <w:p w14:paraId="0D663F16">
      <w:pPr>
        <w:autoSpaceDE w:val="0"/>
        <w:autoSpaceDN w:val="0"/>
        <w:spacing w:line="360" w:lineRule="auto"/>
        <w:ind w:right="78" w:firstLine="500" w:firstLineChars="200"/>
        <w:rPr>
          <w:rFonts w:ascii="Times New Roman" w:hAnsi="Times New Roman" w:eastAsia="宋体" w:cs="Times New Roman"/>
          <w:color w:val="000000"/>
          <w:sz w:val="25"/>
        </w:rPr>
      </w:pPr>
      <w:r>
        <w:rPr>
          <w:rFonts w:ascii="Times New Roman" w:hAnsi="Times New Roman" w:eastAsia="宋体" w:cs="Times New Roman"/>
          <w:color w:val="000000"/>
          <w:sz w:val="25"/>
        </w:rPr>
        <w:t>【</w:t>
      </w:r>
      <w:r>
        <w:rPr>
          <w:rFonts w:ascii="Times New Roman" w:hAnsi="Times New Roman" w:eastAsia="黑体" w:cs="Times New Roman"/>
          <w:color w:val="000000"/>
          <w:sz w:val="25"/>
        </w:rPr>
        <w:t>用法与用量</w:t>
      </w:r>
      <w:r>
        <w:rPr>
          <w:rFonts w:ascii="Times New Roman" w:hAnsi="Times New Roman" w:eastAsia="宋体" w:cs="Times New Roman"/>
          <w:color w:val="000000"/>
          <w:sz w:val="25"/>
        </w:rPr>
        <w:t xml:space="preserve">】 </w:t>
      </w:r>
      <w:r>
        <w:rPr>
          <w:rFonts w:hint="eastAsia" w:ascii="Times New Roman" w:hAnsi="Times New Roman" w:eastAsia="宋体" w:cs="Times New Roman"/>
          <w:color w:val="000000"/>
          <w:sz w:val="25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5"/>
        </w:rPr>
        <w:t>口服。一次6g（约40丸），一日3次。</w:t>
      </w:r>
    </w:p>
    <w:p w14:paraId="2D74E488">
      <w:pPr>
        <w:autoSpaceDE w:val="0"/>
        <w:autoSpaceDN w:val="0"/>
        <w:spacing w:line="360" w:lineRule="auto"/>
        <w:ind w:right="78" w:firstLine="500" w:firstLineChars="200"/>
        <w:rPr>
          <w:rFonts w:ascii="Times New Roman" w:hAnsi="Times New Roman" w:eastAsia="宋体" w:cs="Times New Roman"/>
          <w:color w:val="000000"/>
          <w:sz w:val="25"/>
        </w:rPr>
      </w:pPr>
      <w:r>
        <w:rPr>
          <w:rFonts w:ascii="Times New Roman" w:hAnsi="Times New Roman" w:eastAsia="宋体" w:cs="Times New Roman"/>
          <w:color w:val="000000"/>
          <w:sz w:val="25"/>
        </w:rPr>
        <w:t>【</w:t>
      </w:r>
      <w:r>
        <w:rPr>
          <w:rFonts w:ascii="Times New Roman" w:hAnsi="Times New Roman" w:eastAsia="黑体" w:cs="Times New Roman"/>
          <w:color w:val="000000"/>
          <w:sz w:val="25"/>
        </w:rPr>
        <w:t>规格</w:t>
      </w:r>
      <w:r>
        <w:rPr>
          <w:rFonts w:ascii="Times New Roman" w:hAnsi="Times New Roman" w:eastAsia="宋体" w:cs="Times New Roman"/>
          <w:color w:val="000000"/>
          <w:sz w:val="25"/>
        </w:rPr>
        <w:t>】</w:t>
      </w:r>
      <w:r>
        <w:rPr>
          <w:rFonts w:hint="eastAsia" w:ascii="Times New Roman" w:hAnsi="Times New Roman" w:eastAsia="宋体" w:cs="Times New Roman"/>
          <w:color w:val="000000"/>
          <w:sz w:val="25"/>
        </w:rPr>
        <w:t xml:space="preserve">  </w:t>
      </w:r>
      <w:r>
        <w:rPr>
          <w:rFonts w:ascii="Times New Roman" w:hAnsi="Times New Roman" w:eastAsia="宋体" w:cs="Times New Roman"/>
          <w:color w:val="000000"/>
          <w:sz w:val="25"/>
        </w:rPr>
        <w:t>每瓶装60g</w:t>
      </w:r>
    </w:p>
    <w:p w14:paraId="11D51CA0">
      <w:pPr>
        <w:autoSpaceDE w:val="0"/>
        <w:autoSpaceDN w:val="0"/>
        <w:spacing w:line="360" w:lineRule="auto"/>
        <w:ind w:right="78" w:firstLine="500" w:firstLineChars="200"/>
        <w:rPr>
          <w:rFonts w:ascii="Times New Roman" w:hAnsi="Times New Roman" w:eastAsia="宋体" w:cs="Times New Roman"/>
          <w:color w:val="000000"/>
          <w:sz w:val="25"/>
        </w:rPr>
      </w:pPr>
      <w:r>
        <w:rPr>
          <w:rFonts w:ascii="Times New Roman" w:hAnsi="Times New Roman" w:eastAsia="宋体" w:cs="Times New Roman"/>
          <w:color w:val="000000"/>
          <w:sz w:val="25"/>
        </w:rPr>
        <w:t>【</w:t>
      </w:r>
      <w:r>
        <w:rPr>
          <w:rFonts w:ascii="Times New Roman" w:hAnsi="Times New Roman" w:eastAsia="黑体" w:cs="Times New Roman"/>
          <w:color w:val="000000"/>
          <w:sz w:val="25"/>
        </w:rPr>
        <w:t>贮藏</w:t>
      </w:r>
      <w:r>
        <w:rPr>
          <w:rFonts w:ascii="Times New Roman" w:hAnsi="Times New Roman" w:eastAsia="宋体" w:cs="Times New Roman"/>
          <w:color w:val="000000"/>
          <w:sz w:val="25"/>
        </w:rPr>
        <w:t xml:space="preserve">】 </w:t>
      </w:r>
      <w:r>
        <w:rPr>
          <w:rFonts w:hint="eastAsia" w:ascii="Times New Roman" w:hAnsi="Times New Roman" w:eastAsia="宋体" w:cs="Times New Roman"/>
          <w:color w:val="000000"/>
          <w:sz w:val="25"/>
        </w:rPr>
        <w:t xml:space="preserve">  </w:t>
      </w:r>
      <w:r>
        <w:rPr>
          <w:rFonts w:ascii="Times New Roman" w:hAnsi="Times New Roman" w:eastAsia="宋体" w:cs="Times New Roman"/>
          <w:color w:val="000000"/>
          <w:sz w:val="25"/>
        </w:rPr>
        <w:t>密封。</w:t>
      </w:r>
    </w:p>
    <w:p w14:paraId="4E797E5D">
      <w:pPr>
        <w:autoSpaceDE w:val="0"/>
        <w:autoSpaceDN w:val="0"/>
        <w:spacing w:line="360" w:lineRule="auto"/>
        <w:ind w:right="78" w:firstLine="480" w:firstLineChars="200"/>
        <w:rPr>
          <w:rFonts w:ascii="Times New Roman" w:hAnsi="Times New Roman" w:eastAsia="宋体" w:cs="Times New Roman"/>
          <w:color w:val="000000"/>
          <w:sz w:val="25"/>
        </w:rPr>
      </w:pPr>
      <w:r>
        <w:rPr>
          <w:rFonts w:ascii="Times New Roman" w:hAnsi="Times New Roman" w:cs="Times New Roman"/>
          <w:sz w:val="24"/>
        </w:rPr>
        <w:t>【</w:t>
      </w:r>
      <w:r>
        <w:rPr>
          <w:rFonts w:ascii="Times New Roman" w:hAnsi="Times New Roman" w:eastAsia="黑体" w:cs="Times New Roman"/>
          <w:sz w:val="24"/>
        </w:rPr>
        <w:t>制剂配制单位</w:t>
      </w:r>
      <w:r>
        <w:rPr>
          <w:rFonts w:ascii="Times New Roman" w:hAnsi="Times New Roman" w:cs="Times New Roman"/>
          <w:sz w:val="24"/>
        </w:rPr>
        <w:t xml:space="preserve">】  </w:t>
      </w:r>
      <w:r>
        <w:rPr>
          <w:rFonts w:hint="eastAsia"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陕西双博中医肝肾病医院</w:t>
      </w:r>
    </w:p>
    <w:sectPr>
      <w:pgSz w:w="11900" w:h="16840"/>
      <w:pgMar w:top="1440" w:right="1800" w:bottom="1440" w:left="1800" w:header="720" w:footer="720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lTrailSpace/>
    <w:useFELayout/>
    <w:compatSetting w:name="compatibilityMode" w:uri="http://schemas.microsoft.com/office/word" w:val="14"/>
  </w:compat>
  <w:rsids>
    <w:rsidRoot w:val="00EE2A37"/>
    <w:rsid w:val="00040B7D"/>
    <w:rsid w:val="00234763"/>
    <w:rsid w:val="002562B4"/>
    <w:rsid w:val="004D33C8"/>
    <w:rsid w:val="006E2EF7"/>
    <w:rsid w:val="00702D94"/>
    <w:rsid w:val="00821612"/>
    <w:rsid w:val="00876789"/>
    <w:rsid w:val="00A355CF"/>
    <w:rsid w:val="00A77D30"/>
    <w:rsid w:val="00BF04E4"/>
    <w:rsid w:val="00EE2A37"/>
    <w:rsid w:val="00F93D80"/>
    <w:rsid w:val="1E490F08"/>
    <w:rsid w:val="7D05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1155</Words>
  <Characters>1303</Characters>
  <Lines>11</Lines>
  <Paragraphs>3</Paragraphs>
  <TotalTime>192</TotalTime>
  <ScaleCrop>false</ScaleCrop>
  <LinksUpToDate>false</LinksUpToDate>
  <CharactersWithSpaces>1549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2025-02-07T08:20:00Z</dcterms:created>
  <dc:creator>Apache POI</dc:creator>
  <cp:lastModifiedBy>WPS_1641784537</cp:lastModifiedBy>
  <cp:lastPrinted>2025-02-12T07:45:00Z</cp:lastPrinted>
  <dcterms:modified xsi:type="dcterms:W3CDTF">2025-05-16T02:30:49Z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D7D27745DEC84C33AEAF80D2F889E0F1_13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