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600" w:lineRule="exact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2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药品零售企业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许可检查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记录</w:t>
      </w:r>
    </w:p>
    <w:bookmarkEnd w:id="0"/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</w:pPr>
    </w:p>
    <w:p>
      <w:pPr>
        <w:widowControl/>
        <w:shd w:val="clear" w:color="auto" w:fill="FFFFFF"/>
        <w:spacing w:line="450" w:lineRule="atLeast"/>
        <w:ind w:firstLine="48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编号：</w:t>
      </w:r>
    </w:p>
    <w:tbl>
      <w:tblPr>
        <w:tblStyle w:val="5"/>
        <w:tblW w:w="12915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auto" w:sz="4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15"/>
      </w:tblGrid>
      <w:tr>
        <w:tblPrEx>
          <w:tblBorders>
            <w:top w:val="single" w:color="000000" w:sz="6" w:space="0"/>
            <w:left w:val="single" w:color="000000" w:sz="6" w:space="0"/>
            <w:bottom w:val="single" w:color="auto" w:sz="4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企业名称：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经营地址：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经营范围：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检查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时间：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auto" w:sz="4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5" w:hRule="atLeast"/>
          <w:jc w:val="center"/>
        </w:trPr>
        <w:tc>
          <w:tcPr>
            <w:tcW w:w="12915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检查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记录：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 w:rightChars="0" w:firstLine="640" w:firstLineChars="2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u w:val="single"/>
              </w:rPr>
              <w:t>（行政审批部门名称）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执法人员、根据《中华人民共和国药品管理法》《药品经营质量管理规范》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《药品检查管理办法（试行）》《药品经营和使用质量监督管理办法》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等有关规定，对该企业的机构与人员、场所设施与设备、管理与制度等进行现场核查。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符    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项；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不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 xml:space="preserve"> 符 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项；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合理缺项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项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检查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结论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：□符合要求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待整改后评定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不符合要求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6930" w:leftChars="330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企业主要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负责人签字盖章：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6930" w:leftChars="330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检查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人员签字：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 w:rightChars="0" w:firstLine="10880" w:firstLineChars="34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日</w:t>
            </w:r>
          </w:p>
        </w:tc>
      </w:tr>
    </w:tbl>
    <w:p/>
    <w:sectPr>
      <w:pgSz w:w="16838" w:h="11906" w:orient="landscape"/>
      <w:pgMar w:top="1066" w:right="1327" w:bottom="952" w:left="132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8E5FF7"/>
    <w:rsid w:val="458E5FF7"/>
    <w:rsid w:val="6430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3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2024-04-10T01:03:00Z</dcterms:created>
  <dc:creator>田野</dc:creator>
  <cp:lastModifiedBy>田野</cp:lastModifiedBy>
  <dcterms:modified xsi:type="dcterms:W3CDTF">2024-04-10T01:04:51Z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