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窗体顶端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窗体顶端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陕西省药品监督管理局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黑体" w:hAnsi="黑体" w:eastAsia="黑体" w:cs="黑体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年政府信息公开年度报告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2024年，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局深入学习贯彻党的二十大和二十届二中、三中全会以及习近平总书记历次来陕考察重要讲话重要指示精神，始终坚持以人民为中心，全面落实全国药品监管工作会议和省委省政府“三个年”活动部署要求，按照“讲政治、强监管、保安全、促发展、惠民生”工作思路，深入开展药品安全巩固提升行动，</w:t>
      </w:r>
      <w:r>
        <w:rPr>
          <w:rFonts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sz w:val="32"/>
          <w:szCs w:val="32"/>
          <w:highlight w:val="none"/>
          <w:shd w:val="clear" w:fill="auto"/>
        </w:rPr>
        <w:t>不断规范公开内容、丰富公开形式、提升公开质量，有序推进药品监管领域政务公开各项工作</w:t>
      </w:r>
      <w:r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sz w:val="32"/>
          <w:szCs w:val="32"/>
          <w:highlight w:val="none"/>
          <w:shd w:val="clear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（一）主动公开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加强信息发布管理工作，制定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《关于进一步推动政务信息和新闻宣传工作提质增效的通知》《关于进一步加强和规范信息发布管理工作的通知》《关于进一步规范政务信息发布管理工作的通知》等文件，</w:t>
      </w:r>
      <w:r>
        <w:rPr>
          <w:rFonts w:hint="eastAsia" w:ascii="华文仿宋" w:hAnsi="华文仿宋" w:eastAsia="华文仿宋" w:cs="华文仿宋"/>
          <w:sz w:val="32"/>
          <w:szCs w:val="32"/>
        </w:rPr>
        <w:t>从责任落实、审批流程、信息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报送要点、报送要求和</w:t>
      </w:r>
      <w:r>
        <w:rPr>
          <w:rFonts w:hint="eastAsia" w:ascii="华文仿宋" w:hAnsi="华文仿宋" w:eastAsia="华文仿宋" w:cs="华文仿宋"/>
          <w:sz w:val="32"/>
          <w:szCs w:val="32"/>
        </w:rPr>
        <w:t>责任追究等方面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提出明确要求。按要求维护好省局</w:t>
      </w:r>
      <w:r>
        <w:rPr>
          <w:rFonts w:hint="eastAsia" w:ascii="华文仿宋" w:hAnsi="华文仿宋" w:eastAsia="华文仿宋" w:cs="华文仿宋"/>
          <w:sz w:val="32"/>
          <w:szCs w:val="32"/>
        </w:rPr>
        <w:t>政府网站、微信公众号和政务微博等局属宣传载体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，对外发布信息严格执行</w:t>
      </w:r>
      <w:r>
        <w:rPr>
          <w:rFonts w:hint="eastAsia" w:ascii="华文仿宋" w:hAnsi="华文仿宋" w:eastAsia="华文仿宋" w:cs="华文仿宋"/>
          <w:sz w:val="32"/>
          <w:szCs w:val="32"/>
        </w:rPr>
        <w:t>“三审”制度，层层审核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把关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重大互动信息经省局主要负责同志审定后对外发布，严防因信息发布不当造成不良影响。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-SA"/>
        </w:rPr>
        <w:t>2024年主动公开信息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shd w:val="clear" w:fill="FFFFFF"/>
          <w:lang w:val="en-US" w:eastAsia="zh-CN" w:bidi="ar-SA"/>
        </w:rPr>
        <w:t>1597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-SA"/>
        </w:rPr>
        <w:t>条，政策及解读文件类信息5条、规范性文件8条、要闻动态类信息741条。省局门户网站总访问量</w:t>
      </w:r>
      <w:r>
        <w:rPr>
          <w:rFonts w:hint="eastAsia" w:ascii="仿宋_GB2312" w:hAnsi="仿宋_GB2312" w:eastAsia="仿宋_GB2312" w:cs="仿宋_GB2312"/>
          <w:b w:val="0"/>
          <w:i w:val="0"/>
          <w:color w:val="00B050"/>
          <w:sz w:val="32"/>
          <w:szCs w:val="32"/>
          <w:shd w:val="clear" w:fill="FFFFFF"/>
          <w:lang w:val="en-US" w:eastAsia="zh-CN"/>
        </w:rPr>
        <w:t>3361024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-SA"/>
        </w:rPr>
        <w:t>次。政务新媒体微信公众号“陕西药品监管”发布信息1499条、新浪微博“陕西药品监管”发布信息544条。办理省十四届人大二次会议代表建议4件，省政协十三届二次会议委员提案7件。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公开政务服务事项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项，可全程在线办理政务服务数量事项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项，公开办件结果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61416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件；发布意见征集类信息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条，收集群众意见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条；收到群众留言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641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条，完成留言回复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641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公开行政处罚信息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联合《三秦都市报》启动“药安陕西三秦行”陕西药品监管高质量采访活动，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联合</w:t>
      </w: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eastAsia="zh-CN"/>
        </w:rPr>
        <w:t>华商网开展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“药安陕西我把关”主题活动，在群众新闻、陕西广播电视台、华商网、《西北信息报》等省内主流媒体策划开展“药安陕西党旗红”“药安陕西我把关”“药安陕西大家谈”等主题活动，通过实地采访、随同调研、访谈直播和提供新闻通稿等形式，</w:t>
      </w: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eastAsia="zh-CN"/>
        </w:rPr>
        <w:t>多形式、全方位展示我省药品监管工作举措成效。</w:t>
      </w: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/>
        </w:rPr>
        <w:t>在央广网、人民网、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《中国医药报》、《陕西日报》、陕西电视台和华商网、西部网等中省主流媒体网站刊载相关报道530余条。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年依法办理、规范答复政府信息公开申请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件，办结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详见第三部分报告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无逾期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行政复议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、行政诉讼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auto"/>
        </w:rPr>
        <w:t>加强政府信息资源规范化、标准化、信息化管理，推进</w:t>
      </w:r>
      <w:r>
        <w:rPr>
          <w:rFonts w:hint="eastAsia" w:ascii="华文仿宋" w:hAnsi="华文仿宋" w:eastAsia="华文仿宋" w:cs="华文仿宋"/>
          <w:i w:val="0"/>
          <w:caps w:val="0"/>
          <w:spacing w:val="0"/>
          <w:sz w:val="32"/>
          <w:szCs w:val="32"/>
          <w:shd w:val="clear"/>
          <w:lang w:val="en-US" w:eastAsia="zh-CN"/>
        </w:rPr>
        <w:t>政务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auto"/>
        </w:rPr>
        <w:t>网站、微博、微信等互联网公开平台建设，实现政府信息公开平台与政务服务平台在</w:t>
      </w:r>
      <w:r>
        <w:rPr>
          <w:rFonts w:hint="eastAsia" w:ascii="华文仿宋" w:hAnsi="华文仿宋" w:eastAsia="华文仿宋" w:cs="华文仿宋"/>
          <w:i w:val="0"/>
          <w:caps w:val="0"/>
          <w:spacing w:val="0"/>
          <w:sz w:val="32"/>
          <w:szCs w:val="32"/>
          <w:shd w:val="clear"/>
          <w:lang w:val="en-US" w:eastAsia="zh-CN"/>
        </w:rPr>
        <w:t>政务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auto"/>
        </w:rPr>
        <w:t>网站的有机融合，提高政府信息公开在线办理水平，主动接受群众监督。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及时</w:t>
      </w:r>
      <w:r>
        <w:rPr>
          <w:rFonts w:hint="eastAsia" w:ascii="华文仿宋" w:hAnsi="华文仿宋" w:eastAsia="华文仿宋" w:cs="华文仿宋"/>
          <w:sz w:val="32"/>
          <w:szCs w:val="32"/>
        </w:rPr>
        <w:t>转发转载中央主流媒体和国家局最新政策法规、重要会议、重大活动等相关信息，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持续</w:t>
      </w:r>
      <w:r>
        <w:rPr>
          <w:rFonts w:hint="eastAsia" w:ascii="华文仿宋" w:hAnsi="华文仿宋" w:eastAsia="华文仿宋" w:cs="华文仿宋"/>
          <w:sz w:val="32"/>
          <w:szCs w:val="32"/>
        </w:rPr>
        <w:t>发布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全省药品监管举措成效和科普知识，及时回应社会关切，抓好政务信息报送工作，围绕国家药监局、省委省政府决策部署和省药监局重点工作安排，突出政务信息报送质效，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截止目前共编发省局政务信息、简报（含药品安全巩固提升行动专报）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>34期，药品说明书适老化改革简报获赵一德书记、李钧副省长批示。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（四）</w:t>
      </w: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  <w:lang w:val="en-US" w:eastAsia="zh-CN"/>
        </w:rPr>
        <w:t>政府信息公开</w:t>
      </w: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平台建设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年，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eastAsia="zh-CN" w:bidi="ar-SA"/>
        </w:rPr>
        <w:t>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持续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加强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网站和政务新媒体建设，优化栏目设置、强化安全保障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eastAsia="zh-CN" w:bidi="ar-SA"/>
        </w:rPr>
        <w:t>。我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局已完成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网站支持I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P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v6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改造和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等保测评工作，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购买了SSL证书，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与西安博达软件股份有限公司签订网站运维合同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确保网站安全稳定运行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auto"/>
          <w:lang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left="480" w:right="480"/>
        <w:textAlignment w:val="auto"/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</w:rPr>
        <w:t>（五）</w:t>
      </w:r>
      <w:r>
        <w:rPr>
          <w:rStyle w:val="5"/>
          <w:rFonts w:hint="eastAsia" w:ascii="楷体" w:hAnsi="楷体" w:eastAsia="楷体" w:cs="楷体"/>
          <w:b/>
          <w:bCs w:val="0"/>
          <w:color w:val="000000"/>
          <w:sz w:val="32"/>
          <w:szCs w:val="32"/>
          <w:shd w:val="clear" w:fill="FFFFFF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加强政务信息公开队伍建设，积极参加国家药监局和省上相关培训，举办全系统新闻宣传业务培训，提升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政治素养、理论功底和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信息公开工作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水平。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落实意识形态工作责任制，制定内部刊物、网站和新闻宣传阵地管理制度，定期开展清理检查。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年9月26至27日对省局机关各处室、直属单位信息工作负责同志以及各市、县（区）分管负责人、工作人员等作专题培训，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把政府信息公开与药品监管重点工作紧密结合，纳入年度考核。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全面提升全系统政务公开工作能力和水平。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根据陕西省财政厅统一部署，我局公布了《陕西省药品监督管理局202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年部门决算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》，《陕西省药品监督管理局202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年部门预算公开》、《陕西省药品监督管理局机关及直属单位202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部门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预算公开》。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8"/>
        <w:tblW w:w="88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2409"/>
        <w:gridCol w:w="1705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本年制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废止件数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规范性文件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46808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1027.769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640" w:firstLineChars="200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8"/>
        <w:tblW w:w="88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950"/>
        <w:gridCol w:w="2102"/>
        <w:gridCol w:w="566"/>
        <w:gridCol w:w="576"/>
        <w:gridCol w:w="612"/>
        <w:gridCol w:w="732"/>
        <w:gridCol w:w="804"/>
        <w:gridCol w:w="708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0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05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法人或其他组织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05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商业企业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科研机构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社会公益组织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法律服务机构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三、本年度办理结果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（一）予以公开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三）不予公开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1.属于国家秘密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2.其他法律行政法规禁止公开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3.危及“三安全一稳定”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4.保护第三方合法权益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5.属于三类内部事务信息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6.属于四类过程性信息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7.属于行政执法案卷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8.属于行政查询事项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（四）无法提供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1.本机关不掌握相关政府信息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2.没有现成信息需要另行制作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3.补正后申请内容仍不明确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（五）不予处理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1.信访举报投诉类申请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2.重复申请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3.要求提供公开出版物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4.无正当理由大量反复申请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（六）其他处理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（七）总计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四、结转下年度继续办理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5"/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8"/>
        <w:tblW w:w="88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82"/>
        <w:gridCol w:w="583"/>
        <w:gridCol w:w="582"/>
        <w:gridCol w:w="631"/>
        <w:gridCol w:w="582"/>
        <w:gridCol w:w="582"/>
        <w:gridCol w:w="583"/>
        <w:gridCol w:w="582"/>
        <w:gridCol w:w="631"/>
        <w:gridCol w:w="582"/>
        <w:gridCol w:w="582"/>
        <w:gridCol w:w="583"/>
        <w:gridCol w:w="582"/>
        <w:gridCol w:w="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行政复议</w:t>
            </w:r>
          </w:p>
        </w:tc>
        <w:tc>
          <w:tcPr>
            <w:tcW w:w="59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2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0" w:afterAutospacing="0"/>
        <w:ind w:right="0" w:firstLine="3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u w:val="non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五、存在的主要问题及改进情况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窗体底端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窗体顶端</w:t>
      </w:r>
    </w:p>
    <w:p>
      <w:pPr>
        <w:spacing w:beforeLines="0" w:afterLines="0" w:line="6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公开工作</w:t>
      </w:r>
      <w:r>
        <w:rPr>
          <w:rFonts w:hint="eastAsia" w:ascii="Times New Roman" w:hAnsi="Times New Roman" w:eastAsia="仿宋_GB2312" w:cs="Times New Roman"/>
          <w:i w:val="0"/>
          <w:caps w:val="0"/>
          <w:color w:val="3C3C3C"/>
          <w:spacing w:val="0"/>
          <w:sz w:val="32"/>
          <w:szCs w:val="32"/>
          <w:shd w:val="clear" w:fill="auto"/>
        </w:rPr>
        <w:t>存在信息公开渠道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C3C3C"/>
          <w:spacing w:val="0"/>
          <w:sz w:val="32"/>
          <w:szCs w:val="32"/>
          <w:shd w:val="clear" w:fill="auto"/>
        </w:rPr>
        <w:t>不够、政策解读形式不丰富、主动公开事项广度不宽、推进工作手段有待优化等。下一步，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/>
          <w:lang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3C3C3C"/>
          <w:spacing w:val="0"/>
          <w:sz w:val="32"/>
          <w:szCs w:val="32"/>
          <w:shd w:val="clear" w:fill="auto"/>
        </w:rPr>
        <w:t>局将进一步创新工作思路、方法，探索、丰富主动公开事项范围和公开渠道，细化政府信息公开目录和范围，依法依规处理政府信息依申请公开，持续关注群众需求，着力强化重点领域信息主动公开，提升信息公开的深度、广度，做到真正让群众满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300" w:afterAutospacing="0" w:line="640" w:lineRule="exact"/>
        <w:ind w:right="480" w:rightChars="0"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2024年，我局未向政府信息公开申请人收取任何费用，</w:t>
      </w:r>
      <w:r>
        <w:rPr>
          <w:rFonts w:hint="eastAsia" w:ascii="华文仿宋" w:hAnsi="华文仿宋" w:eastAsia="华文仿宋" w:cs="华文仿宋"/>
          <w:sz w:val="32"/>
          <w:szCs w:val="32"/>
        </w:rPr>
        <w:t>没有发生重大药品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安全</w:t>
      </w:r>
      <w:r>
        <w:rPr>
          <w:rFonts w:hint="eastAsia" w:ascii="华文仿宋" w:hAnsi="华文仿宋" w:eastAsia="华文仿宋" w:cs="华文仿宋"/>
          <w:sz w:val="32"/>
          <w:szCs w:val="32"/>
        </w:rPr>
        <w:t>舆情事件。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陕西省药品监督管理局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2025年1月8日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color w:val="00000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mE0ZTdjMmFiNTA2ZGQwNjgyNDQ4ZmNiNWY4M2IifQ=="/>
  </w:docVars>
  <w:rsids>
    <w:rsidRoot w:val="2BB34210"/>
    <w:rsid w:val="009C6D51"/>
    <w:rsid w:val="015F0A55"/>
    <w:rsid w:val="01CE0156"/>
    <w:rsid w:val="01F2228E"/>
    <w:rsid w:val="021E28D1"/>
    <w:rsid w:val="02507CC3"/>
    <w:rsid w:val="03170859"/>
    <w:rsid w:val="034A4A90"/>
    <w:rsid w:val="03B80D7C"/>
    <w:rsid w:val="065D3087"/>
    <w:rsid w:val="06E223BC"/>
    <w:rsid w:val="076F7ED6"/>
    <w:rsid w:val="084F3447"/>
    <w:rsid w:val="09333104"/>
    <w:rsid w:val="093C5066"/>
    <w:rsid w:val="0A117618"/>
    <w:rsid w:val="0C345CD6"/>
    <w:rsid w:val="0D780F9B"/>
    <w:rsid w:val="0DF34032"/>
    <w:rsid w:val="0E0C75CF"/>
    <w:rsid w:val="110E07F3"/>
    <w:rsid w:val="12965B0E"/>
    <w:rsid w:val="139F1DF3"/>
    <w:rsid w:val="13EB48CE"/>
    <w:rsid w:val="14260596"/>
    <w:rsid w:val="146C5F30"/>
    <w:rsid w:val="14DA02EE"/>
    <w:rsid w:val="156445B2"/>
    <w:rsid w:val="163951A4"/>
    <w:rsid w:val="17DD7311"/>
    <w:rsid w:val="190F69E8"/>
    <w:rsid w:val="1B3F3682"/>
    <w:rsid w:val="1B4B47DB"/>
    <w:rsid w:val="1C6D7EC7"/>
    <w:rsid w:val="1D2C0733"/>
    <w:rsid w:val="1E2C3D13"/>
    <w:rsid w:val="1FCA00E5"/>
    <w:rsid w:val="203410DD"/>
    <w:rsid w:val="2035411F"/>
    <w:rsid w:val="21A00029"/>
    <w:rsid w:val="22A85277"/>
    <w:rsid w:val="2401284D"/>
    <w:rsid w:val="246A3C62"/>
    <w:rsid w:val="246C2440"/>
    <w:rsid w:val="25E22469"/>
    <w:rsid w:val="25EB7984"/>
    <w:rsid w:val="26383139"/>
    <w:rsid w:val="266F0C41"/>
    <w:rsid w:val="27143250"/>
    <w:rsid w:val="27B812F9"/>
    <w:rsid w:val="28C74A0E"/>
    <w:rsid w:val="2B802891"/>
    <w:rsid w:val="2BB34210"/>
    <w:rsid w:val="2C9C08E6"/>
    <w:rsid w:val="2CB37DEA"/>
    <w:rsid w:val="2CEB4EE3"/>
    <w:rsid w:val="2F0E28C4"/>
    <w:rsid w:val="2F7A23C8"/>
    <w:rsid w:val="2F8E056E"/>
    <w:rsid w:val="3011117D"/>
    <w:rsid w:val="30237CAF"/>
    <w:rsid w:val="311374F8"/>
    <w:rsid w:val="31616C17"/>
    <w:rsid w:val="319E03F0"/>
    <w:rsid w:val="342B004A"/>
    <w:rsid w:val="352D5447"/>
    <w:rsid w:val="361F0DF7"/>
    <w:rsid w:val="367C27A3"/>
    <w:rsid w:val="38135202"/>
    <w:rsid w:val="3CDE68C2"/>
    <w:rsid w:val="3CFC1025"/>
    <w:rsid w:val="3D2A6AE1"/>
    <w:rsid w:val="3D6C4441"/>
    <w:rsid w:val="3E3B7202"/>
    <w:rsid w:val="3FB708E8"/>
    <w:rsid w:val="40397B51"/>
    <w:rsid w:val="40A46364"/>
    <w:rsid w:val="40DF7553"/>
    <w:rsid w:val="42B71CEE"/>
    <w:rsid w:val="43404B40"/>
    <w:rsid w:val="436B2250"/>
    <w:rsid w:val="44064FE8"/>
    <w:rsid w:val="440F4C25"/>
    <w:rsid w:val="454F6E72"/>
    <w:rsid w:val="45831007"/>
    <w:rsid w:val="45DB4E6B"/>
    <w:rsid w:val="45DD55E7"/>
    <w:rsid w:val="46ED7E16"/>
    <w:rsid w:val="47B77FE4"/>
    <w:rsid w:val="485E4FC3"/>
    <w:rsid w:val="4A3E5B7D"/>
    <w:rsid w:val="4B3D2FB8"/>
    <w:rsid w:val="4C190F0B"/>
    <w:rsid w:val="4D6B72A9"/>
    <w:rsid w:val="4DAF699C"/>
    <w:rsid w:val="4DCF7685"/>
    <w:rsid w:val="4F332C06"/>
    <w:rsid w:val="4FE81CF8"/>
    <w:rsid w:val="50285A9F"/>
    <w:rsid w:val="504E5DDF"/>
    <w:rsid w:val="50B3154E"/>
    <w:rsid w:val="50D027F7"/>
    <w:rsid w:val="514F1056"/>
    <w:rsid w:val="517E512F"/>
    <w:rsid w:val="537158AC"/>
    <w:rsid w:val="53891B5D"/>
    <w:rsid w:val="54D55E9F"/>
    <w:rsid w:val="5567003E"/>
    <w:rsid w:val="58055B96"/>
    <w:rsid w:val="586D15DE"/>
    <w:rsid w:val="59413858"/>
    <w:rsid w:val="5A687835"/>
    <w:rsid w:val="5B2D5B7A"/>
    <w:rsid w:val="5CC70EAE"/>
    <w:rsid w:val="5CD9474E"/>
    <w:rsid w:val="5E357D93"/>
    <w:rsid w:val="5ED47395"/>
    <w:rsid w:val="5F56213D"/>
    <w:rsid w:val="5FB738C8"/>
    <w:rsid w:val="5FD4007C"/>
    <w:rsid w:val="6056426D"/>
    <w:rsid w:val="606A28FF"/>
    <w:rsid w:val="6199184D"/>
    <w:rsid w:val="622D7CD4"/>
    <w:rsid w:val="62521D91"/>
    <w:rsid w:val="638161C4"/>
    <w:rsid w:val="63C3732C"/>
    <w:rsid w:val="642A1F19"/>
    <w:rsid w:val="64A36202"/>
    <w:rsid w:val="66600B2D"/>
    <w:rsid w:val="66FC38F8"/>
    <w:rsid w:val="675449C4"/>
    <w:rsid w:val="67F36682"/>
    <w:rsid w:val="68536185"/>
    <w:rsid w:val="69D24C22"/>
    <w:rsid w:val="6A25303D"/>
    <w:rsid w:val="6A454702"/>
    <w:rsid w:val="6BD65900"/>
    <w:rsid w:val="6C190CC5"/>
    <w:rsid w:val="6C832CEC"/>
    <w:rsid w:val="6E194B35"/>
    <w:rsid w:val="6F1A180E"/>
    <w:rsid w:val="70FC7944"/>
    <w:rsid w:val="721D4D0E"/>
    <w:rsid w:val="72335DE6"/>
    <w:rsid w:val="724D07E9"/>
    <w:rsid w:val="728D7CD7"/>
    <w:rsid w:val="732441AA"/>
    <w:rsid w:val="73266B96"/>
    <w:rsid w:val="7376003D"/>
    <w:rsid w:val="738445B5"/>
    <w:rsid w:val="75FD56E5"/>
    <w:rsid w:val="77740C9E"/>
    <w:rsid w:val="77E506B1"/>
    <w:rsid w:val="77FD20E2"/>
    <w:rsid w:val="7B2A74FC"/>
    <w:rsid w:val="7B582174"/>
    <w:rsid w:val="7BB23C89"/>
    <w:rsid w:val="7C1B7C18"/>
    <w:rsid w:val="7D606E49"/>
    <w:rsid w:val="7F0027BF"/>
    <w:rsid w:val="7FF5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tpxwdwsj"/>
    <w:basedOn w:val="4"/>
    <w:qFormat/>
    <w:uiPriority w:val="0"/>
    <w:rPr>
      <w:color w:val="999999"/>
      <w:sz w:val="15"/>
      <w:szCs w:val="15"/>
    </w:rPr>
  </w:style>
  <w:style w:type="character" w:customStyle="1" w:styleId="10">
    <w:name w:val="tpxwdwsj1"/>
    <w:basedOn w:val="4"/>
    <w:qFormat/>
    <w:uiPriority w:val="0"/>
    <w:rPr>
      <w:color w:val="999999"/>
      <w:sz w:val="15"/>
      <w:szCs w:val="15"/>
    </w:rPr>
  </w:style>
  <w:style w:type="paragraph" w:customStyle="1" w:styleId="11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2803</Words>
  <Characters>2896</Characters>
  <Lines>0</Lines>
  <Paragraphs>0</Paragraphs>
  <TotalTime>1</TotalTime>
  <ScaleCrop>false</ScaleCrop>
  <LinksUpToDate>false</LinksUpToDate>
  <CharactersWithSpaces>2896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2022-11-16T00:41:00Z</dcterms:created>
  <dc:creator>鸟枪猎手</dc:creator>
  <cp:lastModifiedBy>田野</cp:lastModifiedBy>
  <cp:lastPrinted>2023-01-16T07:17:00Z</cp:lastPrinted>
  <dcterms:modified xsi:type="dcterms:W3CDTF">2025-01-14T02:09:55Z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3753843C97DC4BC3A67F2F560809EA54_13</vt:lpwstr>
  </property>
</Properties>
</file>