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陕西省药品监督管理局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eastAsia" w:ascii="黑体" w:hAnsi="黑体" w:eastAsia="黑体" w:cs="黑体"/>
          <w:color w:val="00000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年政府信息公开年度报告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00" w:afterAutospacing="0" w:line="640" w:lineRule="exact"/>
        <w:ind w:right="480" w:righ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2023年，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局深入学习贯彻党的二十大和习近平总书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记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历次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来陕考察重要讲话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重要指示精神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认真贯彻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落实全国药品监管工作会议和陕西省委省政府“三个年”活动部署要求，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2"/>
          <w:szCs w:val="32"/>
          <w:lang w:val="en-US" w:eastAsia="zh-CN"/>
        </w:rPr>
        <w:t>深入开展“药品安全巩固提升行动”，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0"/>
          <w:kern w:val="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中华人民共和国政府信息公开条例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规定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2"/>
          <w:szCs w:val="32"/>
          <w:lang w:val="en-US" w:eastAsia="zh-CN"/>
        </w:rPr>
        <w:t>，坚持“公开为常态，不公开为例外”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积极回应社会关切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不断丰富政府信息主动公开内容，努力提升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政府信息公开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水平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00" w:afterAutospacing="0" w:line="640" w:lineRule="exact"/>
        <w:ind w:left="480" w:right="480"/>
        <w:textAlignment w:val="auto"/>
        <w:rPr>
          <w:rFonts w:hint="eastAsia" w:ascii="楷体" w:hAnsi="楷体" w:eastAsia="楷体" w:cs="楷体"/>
          <w:b/>
          <w:bCs w:val="0"/>
          <w:color w:val="000000"/>
          <w:sz w:val="32"/>
          <w:szCs w:val="32"/>
          <w:lang w:eastAsia="zh-CN"/>
        </w:rPr>
      </w:pPr>
      <w:r>
        <w:rPr>
          <w:rStyle w:val="5"/>
          <w:rFonts w:hint="eastAsia" w:ascii="楷体" w:hAnsi="楷体" w:eastAsia="楷体" w:cs="楷体"/>
          <w:b/>
          <w:bCs w:val="0"/>
          <w:color w:val="000000"/>
          <w:sz w:val="32"/>
          <w:szCs w:val="32"/>
          <w:shd w:val="clear" w:fill="FFFFFF"/>
        </w:rPr>
        <w:t>（一）主动公开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我局在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加大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政府信息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主动公开力度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的同时，也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严格执行“分级审核、先审后发、授权发布”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信息公开程序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发的信息发布管理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重要、敏感信息由局分管领导审定签发，涉及全局性、系统性的重大信息由主要领导审定签发后，由办公室统一发布。未经审核的信息一律不得发布。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-SA"/>
        </w:rPr>
        <w:t>2023年主动公开信息2685条，政策及解读文件类信息12条、规范性文件7条、要闻动态类信息558条。省局门户网站总访问量2621739次。政务新媒体微信公众号“陕西药品监管”发布信息1468条、新浪微博“陕西药品监管”发布信息826条。办理省十三届人大六次会议代表建议、省政协十二届五次会议委员提案共计10件。解读回应社会热点关注用药用械问题12个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公开政务服务事项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191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项，可全程在线办理政务服务数量事项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项，公开办件结果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46420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件；发布意见征集类信息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条，收集群众意见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148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条；收到群众留言5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条，完成留言回复5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</w:rPr>
        <w:t>公开行政处罚信息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</w:rPr>
        <w:t>件，无行政强制，行政复议和行政诉讼案件。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联合群众新闻网开设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药品安全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巩固提升行动专栏，在陕西日报开设专栏全方位宣传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药品安全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巩固提升行动成效，在中国医药报、陕西日报、西安日报、陕西网、华商网等新闻媒体刊载相关稿件40余条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00" w:afterAutospacing="0" w:line="640" w:lineRule="exact"/>
        <w:ind w:left="480" w:right="480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楷体" w:hAnsi="楷体" w:eastAsia="楷体" w:cs="楷体"/>
          <w:b/>
          <w:bCs w:val="0"/>
          <w:color w:val="000000"/>
          <w:sz w:val="32"/>
          <w:szCs w:val="32"/>
          <w:shd w:val="clear" w:fill="FFFFFF"/>
        </w:rPr>
        <w:t>（二）依申请公开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00" w:afterAutospacing="0" w:line="640" w:lineRule="exact"/>
        <w:ind w:right="48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年依法办理、规范答复政府信息公开申请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件，办结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详见第三部分报告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无逾期、行政复议、行政诉讼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00" w:afterAutospacing="0" w:line="640" w:lineRule="exact"/>
        <w:ind w:left="480" w:right="480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楷体" w:hAnsi="楷体" w:eastAsia="楷体" w:cs="楷体"/>
          <w:b/>
          <w:bCs w:val="0"/>
          <w:color w:val="000000"/>
          <w:sz w:val="32"/>
          <w:szCs w:val="32"/>
          <w:shd w:val="clear" w:fill="FFFFFF"/>
        </w:rPr>
        <w:t>（三）政府信息管理</w:t>
      </w:r>
    </w:p>
    <w:p>
      <w:pPr>
        <w:spacing w:beforeLines="0" w:afterLines="0" w:line="6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我局政务网站是政务信息公开的主渠道，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共设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“工作动态、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信息公开、政务服务、监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信息、政民互动、专题专栏”六大栏目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工作动态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及时反应我局及各市县局重要工作开展情况。政府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信息公开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严格按照《关于规范政府信息公开平台有关事项的通知》要求进行建设和内容发布。政务服务和监管信息是我局比较有特色的栏目，与我省药品安全监管综合业务系统实现无缝融合，为全省监管人员、药械化企业及社会公众提供了统一的监管入口、业务申报和监管信息查询等服务，使我局在全省行政执法三项制度评估考核中成绩名列前茅。政民互动和专题专栏按规定设置，由专人或者负责处室进行内容管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00" w:afterAutospacing="0" w:line="640" w:lineRule="exact"/>
        <w:ind w:left="480" w:right="480"/>
        <w:textAlignment w:val="auto"/>
        <w:rPr>
          <w:rStyle w:val="5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楷体" w:hAnsi="楷体" w:eastAsia="楷体" w:cs="楷体"/>
          <w:b/>
          <w:bCs w:val="0"/>
          <w:color w:val="000000"/>
          <w:sz w:val="32"/>
          <w:szCs w:val="32"/>
          <w:shd w:val="clear" w:fill="FFFFFF"/>
        </w:rPr>
        <w:t>（四）</w:t>
      </w:r>
      <w:r>
        <w:rPr>
          <w:rStyle w:val="5"/>
          <w:rFonts w:hint="eastAsia" w:ascii="楷体" w:hAnsi="楷体" w:eastAsia="楷体" w:cs="楷体"/>
          <w:b/>
          <w:bCs w:val="0"/>
          <w:color w:val="000000"/>
          <w:sz w:val="32"/>
          <w:szCs w:val="32"/>
          <w:shd w:val="clear" w:fill="FFFFFF"/>
          <w:lang w:val="en-US" w:eastAsia="zh-CN"/>
        </w:rPr>
        <w:t>政府信息公开</w:t>
      </w:r>
      <w:r>
        <w:rPr>
          <w:rStyle w:val="5"/>
          <w:rFonts w:hint="eastAsia" w:ascii="楷体" w:hAnsi="楷体" w:eastAsia="楷体" w:cs="楷体"/>
          <w:b/>
          <w:bCs w:val="0"/>
          <w:color w:val="000000"/>
          <w:sz w:val="32"/>
          <w:szCs w:val="32"/>
          <w:shd w:val="clear" w:fill="FFFFFF"/>
        </w:rPr>
        <w:t>平台建设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00" w:afterAutospacing="0" w:line="640" w:lineRule="exact"/>
        <w:ind w:right="48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bidi="ar-SA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bidi="ar-SA"/>
        </w:rPr>
        <w:t>年，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eastAsia="zh-CN" w:bidi="ar-SA"/>
        </w:rPr>
        <w:t>我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局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bidi="ar-SA"/>
        </w:rPr>
        <w:t>进一步加强厅网站和政务新媒体建设，优化栏目设置、强化安全保障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eastAsia="zh-CN" w:bidi="ar-SA"/>
        </w:rPr>
        <w:t>。我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局已完成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bidi="ar-SA"/>
        </w:rPr>
        <w:t>网站支持I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P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bidi="ar-SA"/>
        </w:rPr>
        <w:t>v6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改造和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bidi="ar-SA"/>
        </w:rPr>
        <w:t>等保测评工作，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购买了SSL证书，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bidi="ar-SA"/>
        </w:rPr>
        <w:t>与西安博达软件股份有限公司签订网站运维合同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确保网站安全稳定运行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00" w:afterAutospacing="0" w:line="640" w:lineRule="exact"/>
        <w:ind w:left="480" w:right="480"/>
        <w:textAlignment w:val="auto"/>
        <w:rPr>
          <w:rStyle w:val="5"/>
          <w:rFonts w:hint="eastAsia" w:ascii="楷体" w:hAnsi="楷体" w:eastAsia="楷体" w:cs="楷体"/>
          <w:b/>
          <w:bCs w:val="0"/>
          <w:color w:val="000000"/>
          <w:sz w:val="32"/>
          <w:szCs w:val="32"/>
          <w:shd w:val="clear" w:fill="FFFFFF"/>
        </w:rPr>
      </w:pPr>
      <w:r>
        <w:rPr>
          <w:rStyle w:val="5"/>
          <w:rFonts w:hint="eastAsia" w:ascii="楷体" w:hAnsi="楷体" w:eastAsia="楷体" w:cs="楷体"/>
          <w:b/>
          <w:bCs w:val="0"/>
          <w:color w:val="000000"/>
          <w:sz w:val="32"/>
          <w:szCs w:val="32"/>
          <w:shd w:val="clear" w:fill="FFFFFF"/>
        </w:rPr>
        <w:t>（五）</w:t>
      </w:r>
      <w:r>
        <w:rPr>
          <w:rStyle w:val="5"/>
          <w:rFonts w:hint="eastAsia" w:ascii="楷体" w:hAnsi="楷体" w:eastAsia="楷体" w:cs="楷体"/>
          <w:b/>
          <w:bCs w:val="0"/>
          <w:color w:val="000000"/>
          <w:sz w:val="32"/>
          <w:szCs w:val="32"/>
          <w:shd w:val="clear" w:fill="FFFFFF"/>
          <w:lang w:val="en-US" w:eastAsia="zh-CN"/>
        </w:rPr>
        <w:t>监督保障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加强人员队伍培训，2023年9月26至27日分别围绕政务信息公开、信息报送、意识形态工作等内容，对省局机关各处室、直属单位信息工作负责同志以及各市、县（区）分管负责人、工作人员等作专题培训，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把政府信息公开与药品监管重点工作紧密结合，纳入年度考核。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全面提升全系统政务公开工作能力和水平。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根据陕西省财政厅统一部署，我局公布了《陕西省药品监督管理局202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年部门决算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》，《陕西省药品监督管理局202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年部门预算公开》、《陕西省药品监督管理局机关及直属单位202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部门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预算公开》。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right="0" w:rightChars="0" w:firstLine="640" w:firstLineChars="200"/>
        <w:textAlignment w:val="auto"/>
        <w:rPr>
          <w:rStyle w:val="5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8"/>
        <w:tblW w:w="880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6"/>
        <w:gridCol w:w="2409"/>
        <w:gridCol w:w="1705"/>
        <w:gridCol w:w="2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本年制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作数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废止件数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规范性文件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6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6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6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463.86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right="0" w:rightChars="0" w:firstLine="640" w:firstLineChars="200"/>
        <w:textAlignment w:val="auto"/>
        <w:rPr>
          <w:rStyle w:val="5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8"/>
        <w:tblW w:w="88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950"/>
        <w:gridCol w:w="2102"/>
        <w:gridCol w:w="566"/>
        <w:gridCol w:w="576"/>
        <w:gridCol w:w="612"/>
        <w:gridCol w:w="732"/>
        <w:gridCol w:w="804"/>
        <w:gridCol w:w="708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405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405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自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法人或其他组织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405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商业企业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科研机构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社会公益组织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法律服务机构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4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4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三、本年度办理结果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（一）予以公开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960" w:firstLineChars="4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三）不予公开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1.属于国家秘密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2.其他法律行政法规禁止公开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3.危及“三安全一稳定”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4.保护第三方合法权益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5.属于三类内部事务信息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6.属于四类过程性信息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7.属于行政执法案卷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8.属于行政查询事项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（四）无法提供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1.本机关不掌握相关政府信息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2.没有现成信息需要另行制作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3.补正后申请内容仍不明确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（五）不予处理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1.信访举报投诉类申请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2.重复申请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3.要求提供公开出版物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4.无正当理由大量反复申请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（六）其他处理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（七）总计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4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四、结转下年度继续办理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left="0" w:leftChars="0" w:right="0" w:rightChars="0" w:firstLine="0" w:firstLineChars="0"/>
        <w:jc w:val="left"/>
        <w:textAlignment w:val="auto"/>
        <w:outlineLvl w:val="9"/>
        <w:rPr>
          <w:rStyle w:val="5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Style w:val="5"/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8"/>
        <w:tblW w:w="88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582"/>
        <w:gridCol w:w="583"/>
        <w:gridCol w:w="582"/>
        <w:gridCol w:w="631"/>
        <w:gridCol w:w="582"/>
        <w:gridCol w:w="582"/>
        <w:gridCol w:w="583"/>
        <w:gridCol w:w="582"/>
        <w:gridCol w:w="631"/>
        <w:gridCol w:w="582"/>
        <w:gridCol w:w="582"/>
        <w:gridCol w:w="583"/>
        <w:gridCol w:w="582"/>
        <w:gridCol w:w="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2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行政复议</w:t>
            </w:r>
          </w:p>
        </w:tc>
        <w:tc>
          <w:tcPr>
            <w:tcW w:w="59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结果维持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结果纠正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其他结果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尚未审结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未经复议直接起诉</w:t>
            </w:r>
          </w:p>
        </w:tc>
        <w:tc>
          <w:tcPr>
            <w:tcW w:w="2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结果维持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结果纠正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其他结果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尚未审结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结果维持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结果纠正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其他结果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尚未审结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36" w:type="dxa"/>
              <w:right w:w="36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leftChars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0" w:afterAutospacing="0"/>
        <w:ind w:right="0" w:firstLine="320" w:firstLineChars="20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  <w:u w:val="none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00" w:afterAutospacing="0" w:line="640" w:lineRule="exact"/>
        <w:ind w:right="480" w:rightChars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五、存在的主要问题及改进情况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  <w:r>
        <w:t>窗体底端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  <w:r>
        <w:t>窗体顶端</w:t>
      </w:r>
    </w:p>
    <w:p>
      <w:pPr>
        <w:spacing w:beforeLines="0" w:afterLines="0" w:line="6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我局政务公开工作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存在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主要体现在对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监管对象和社会公众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关注度高的热点问题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政策解读及时性、专业性、针对性还有待提高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，解读形式单一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，对监管部门工作的深入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鲜活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还存在不足。</w:t>
      </w:r>
    </w:p>
    <w:p>
      <w:pPr>
        <w:spacing w:beforeLines="0" w:afterLines="0" w:line="64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将继续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中华人民共和国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政府信息公开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条例》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学习与培训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，认真履行政府信息公开职责，积极落实政府信息与政务公开的各项工作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加强网站功能建设，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完善解读形式，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便于公众查询获取信息、理解政策，建立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健全信息公开各项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制度机制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2"/>
          <w:sz w:val="32"/>
          <w:szCs w:val="32"/>
          <w:lang w:val="en-US" w:eastAsia="zh-CN"/>
        </w:rPr>
        <w:t>信息公开、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投诉举报、日常监管、网络监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、舆情监测等发现的风险信息分析研判、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妥善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处置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健全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政务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工作考核制度，压实各单位各环节责任。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300" w:afterAutospacing="0" w:line="640" w:lineRule="exact"/>
        <w:ind w:right="480" w:rightChars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2023年，我局未向政府信息公开申请人收取任何费用。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微软雅黑" w:hAnsi="微软雅黑" w:eastAsia="微软雅黑" w:cs="微软雅黑"/>
          <w:color w:val="000000"/>
          <w:sz w:val="19"/>
          <w:szCs w:val="19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微软雅黑" w:hAnsi="微软雅黑" w:eastAsia="微软雅黑" w:cs="微软雅黑"/>
          <w:color w:val="000000"/>
          <w:sz w:val="19"/>
          <w:szCs w:val="19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陕西省药品监督管理局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2024年1月17日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微软雅黑" w:hAnsi="微软雅黑" w:eastAsia="微软雅黑" w:cs="微软雅黑"/>
          <w:color w:val="000000"/>
          <w:sz w:val="19"/>
          <w:szCs w:val="19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微软雅黑" w:hAnsi="微软雅黑" w:eastAsia="微软雅黑" w:cs="微软雅黑"/>
          <w:color w:val="000000"/>
          <w:sz w:val="19"/>
          <w:szCs w:val="19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NmE0ZTdjMmFiNTA2ZGQwNjgyNDQ4ZmNiNWY4M2IifQ=="/>
  </w:docVars>
  <w:rsids>
    <w:rsidRoot w:val="2BB34210"/>
    <w:rsid w:val="009C6D51"/>
    <w:rsid w:val="015F0A55"/>
    <w:rsid w:val="01CE0156"/>
    <w:rsid w:val="02507CC3"/>
    <w:rsid w:val="03170859"/>
    <w:rsid w:val="034A4A90"/>
    <w:rsid w:val="03B80D7C"/>
    <w:rsid w:val="065D3087"/>
    <w:rsid w:val="06E223BC"/>
    <w:rsid w:val="076F7ED6"/>
    <w:rsid w:val="084F3447"/>
    <w:rsid w:val="09333104"/>
    <w:rsid w:val="093C5066"/>
    <w:rsid w:val="0D780F9B"/>
    <w:rsid w:val="0DF34032"/>
    <w:rsid w:val="11247FD8"/>
    <w:rsid w:val="12965B0E"/>
    <w:rsid w:val="139F1DF3"/>
    <w:rsid w:val="13EB48CE"/>
    <w:rsid w:val="14260596"/>
    <w:rsid w:val="146C5F30"/>
    <w:rsid w:val="14DA02EE"/>
    <w:rsid w:val="163951A4"/>
    <w:rsid w:val="17DD7311"/>
    <w:rsid w:val="1B3F3682"/>
    <w:rsid w:val="1C6D7EC7"/>
    <w:rsid w:val="1D2C0733"/>
    <w:rsid w:val="1E2C3D13"/>
    <w:rsid w:val="1FCA00E5"/>
    <w:rsid w:val="2035411F"/>
    <w:rsid w:val="21A00029"/>
    <w:rsid w:val="22A85277"/>
    <w:rsid w:val="2401284D"/>
    <w:rsid w:val="246A3C62"/>
    <w:rsid w:val="246C2440"/>
    <w:rsid w:val="25E22469"/>
    <w:rsid w:val="25EB7984"/>
    <w:rsid w:val="26383139"/>
    <w:rsid w:val="266F0C41"/>
    <w:rsid w:val="27143250"/>
    <w:rsid w:val="27B812F9"/>
    <w:rsid w:val="2B802891"/>
    <w:rsid w:val="2BB34210"/>
    <w:rsid w:val="2C9C08E6"/>
    <w:rsid w:val="2CB37DEA"/>
    <w:rsid w:val="2CEB4EE3"/>
    <w:rsid w:val="2F0E28C4"/>
    <w:rsid w:val="2F7A23C8"/>
    <w:rsid w:val="3011117D"/>
    <w:rsid w:val="311374F8"/>
    <w:rsid w:val="319E03F0"/>
    <w:rsid w:val="342B004A"/>
    <w:rsid w:val="352D5447"/>
    <w:rsid w:val="367C27A3"/>
    <w:rsid w:val="38135202"/>
    <w:rsid w:val="3CDE68C2"/>
    <w:rsid w:val="3CFC1025"/>
    <w:rsid w:val="3D2A6AE1"/>
    <w:rsid w:val="3E3B7202"/>
    <w:rsid w:val="3FB708E8"/>
    <w:rsid w:val="40397B51"/>
    <w:rsid w:val="40A46364"/>
    <w:rsid w:val="42B71CEE"/>
    <w:rsid w:val="43404B40"/>
    <w:rsid w:val="436B2250"/>
    <w:rsid w:val="440F4C25"/>
    <w:rsid w:val="45831007"/>
    <w:rsid w:val="45DB4E6B"/>
    <w:rsid w:val="45DD55E7"/>
    <w:rsid w:val="46ED7E16"/>
    <w:rsid w:val="4A3E5B7D"/>
    <w:rsid w:val="4B3D2FB8"/>
    <w:rsid w:val="4D6B72A9"/>
    <w:rsid w:val="4DAF699C"/>
    <w:rsid w:val="4FE81CF8"/>
    <w:rsid w:val="4FF82380"/>
    <w:rsid w:val="50285A9F"/>
    <w:rsid w:val="504E5DDF"/>
    <w:rsid w:val="50B3154E"/>
    <w:rsid w:val="514F1056"/>
    <w:rsid w:val="537158AC"/>
    <w:rsid w:val="54D55E9F"/>
    <w:rsid w:val="5567003E"/>
    <w:rsid w:val="58055B96"/>
    <w:rsid w:val="586D15DE"/>
    <w:rsid w:val="59413858"/>
    <w:rsid w:val="5A687835"/>
    <w:rsid w:val="5B2D5B7A"/>
    <w:rsid w:val="5E357D93"/>
    <w:rsid w:val="5F56213D"/>
    <w:rsid w:val="5FB738C8"/>
    <w:rsid w:val="5FD4007C"/>
    <w:rsid w:val="6056426D"/>
    <w:rsid w:val="6199184D"/>
    <w:rsid w:val="622D7CD4"/>
    <w:rsid w:val="63C3732C"/>
    <w:rsid w:val="642A1F19"/>
    <w:rsid w:val="64A36202"/>
    <w:rsid w:val="66FC38F8"/>
    <w:rsid w:val="675449C4"/>
    <w:rsid w:val="68536185"/>
    <w:rsid w:val="69D24C22"/>
    <w:rsid w:val="6A25303D"/>
    <w:rsid w:val="6C190CC5"/>
    <w:rsid w:val="6C832CEC"/>
    <w:rsid w:val="6F1A180E"/>
    <w:rsid w:val="70FC7944"/>
    <w:rsid w:val="712740B3"/>
    <w:rsid w:val="721D4D0E"/>
    <w:rsid w:val="72335DE6"/>
    <w:rsid w:val="728D7CD7"/>
    <w:rsid w:val="732441AA"/>
    <w:rsid w:val="73266B96"/>
    <w:rsid w:val="7376003D"/>
    <w:rsid w:val="738445B5"/>
    <w:rsid w:val="75FD56E5"/>
    <w:rsid w:val="7B582174"/>
    <w:rsid w:val="7BB23C89"/>
    <w:rsid w:val="7D606E49"/>
    <w:rsid w:val="7FF5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9">
    <w:name w:val="tpxwdwsj"/>
    <w:basedOn w:val="4"/>
    <w:qFormat/>
    <w:uiPriority w:val="0"/>
    <w:rPr>
      <w:color w:val="999999"/>
      <w:sz w:val="15"/>
      <w:szCs w:val="15"/>
    </w:rPr>
  </w:style>
  <w:style w:type="character" w:customStyle="1" w:styleId="10">
    <w:name w:val="tpxwdwsj1"/>
    <w:basedOn w:val="4"/>
    <w:qFormat/>
    <w:uiPriority w:val="0"/>
    <w:rPr>
      <w:color w:val="999999"/>
      <w:sz w:val="15"/>
      <w:szCs w:val="15"/>
    </w:rPr>
  </w:style>
  <w:style w:type="paragraph" w:customStyle="1" w:styleId="11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2803</Words>
  <Characters>2896</Characters>
  <Lines>0</Lines>
  <Paragraphs>0</Paragraphs>
  <TotalTime>0</TotalTime>
  <ScaleCrop>false</ScaleCrop>
  <LinksUpToDate>false</LinksUpToDate>
  <CharactersWithSpaces>2896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2022-11-16T00:41:00Z</dcterms:created>
  <dc:creator>鸟枪猎手</dc:creator>
  <cp:lastModifiedBy>田野</cp:lastModifiedBy>
  <cp:lastPrinted>2023-01-16T07:17:00Z</cp:lastPrinted>
  <dcterms:modified xsi:type="dcterms:W3CDTF">2026-01-23T03:04:08Z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3753843C97DC4BC3A67F2F560809EA54_13</vt:lpwstr>
  </property>
</Properties>
</file>